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LY200010 vom 25. März 2020</w:t>
      </w:r>
    </w:p>
    <w:p>
      <w:r>
        <w:t>ZH Obergericht, 2020-03-25, DE</w:t>
      </w:r>
    </w:p>
    <w:p>
      <w:r>
        <w:rPr>
          <w:b/>
        </w:rPr>
        <w:t xml:space="preserve">Quelle: </w:t>
      </w:r>
      <w:r>
        <w:t>https://mcp.opencaselaw.ch/entscheid/zh_obergericht_LY200010</w:t>
      </w:r>
    </w:p>
    <w:p>
      <w:r>
        <w:t>FR: ZH_OBERGERICHT LY200010 du 25 mars 2020</w:t>
      </w:r>
    </w:p>
    <w:p>
      <w:r>
        <w:t>IT: ZH_OBERGERICHT LY200010 del 25 marzo 2020</w:t>
      </w:r>
    </w:p>
    <w:p>
      <w:pPr>
        <w:pStyle w:val="Heading2"/>
      </w:pPr>
      <w:r>
        <w:t>Erwägungen</w:t>
      </w:r>
    </w:p>
    <w:p>
      <w:r>
        <w:rPr>
          <w:b/>
        </w:rPr>
        <w:t>E. 2</w:t>
      </w:r>
    </w:p>
    <w:p>
      <w:r>
        <w:t>Dagegen erhob die Beklagte mit Eingabe vom 9. März 2020 innert Frist Be- rufung, wobei sie die oben angeführten Anträge stellte (Urk. 1 S. 2 f.). Da die Be- rufung offensichtlich unbegründet ist, wurden keine Berufungsantworten des Klä- gers und der Verfahrensbeteiligten eingeholt (Urk. 312 Abs. 1 ZPO). II. 1. Das Berufungsverfahren stellt keine Fortsetzung des erstinstanzlichen Ver- fahrens dar, sondern ist nach der gesetzlichen Konzeption als eigenständiges Verfahren ausgestaltet (BGE 142 III 413 E. 2.2.1 mit weiteren Hinweisen auf die Botschaft zur Schweizerischen ZPO, BBl 2006, S. 7374). Mit der Berufung kann eine unrichtige Rechtsanwendung und eine unrichtige Feststellung des Sachver- halts geltend gemacht werden (Art. 310 ZPO). Die Berufungsinstanz verfügt über unbeschränkte Kognition bezüglich Tat- und Rechtsfragen, einschliesslich der Frage richtiger Ermessensausübung (Angemessenheitsprüfung; BGer 5A_184/2013 vom 26. April 2013, E. 3.1). In der schriftlichen Berufungsbegrün-</w:t>
      </w:r>
    </w:p>
    <w:p>
      <w:r>
        <w:t>- 8 - dung (Art. 311 ZPO) ist hinreichend genau aufzuzeigen, inwiefern der erstinstanz- 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 präziser Verweisungen auf die Ak- ten aufzeigt, wo die massgebenden Behauptungen, Erklärungen, Bestreitungen und Einreden erhoben wurden bzw. aus welchen Aktenstellen sich der geltend gemachte Berufungsgrund ergeben soll. Die pauschale Verweisung auf frühere Vorbringen oder deren blosse Wiederholung genügen nicht (vgl. BGE 138 III 374 E. 4.3.1; BGer 5A_247/2013 vom 15. Oktober 2013, E. 3.2; BGer 5A_751/2014 vom 28. Mai 2015, E. 2.1). Was nicht oder nicht in einer den gesetzlichen Be- 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 instanzlichen Entscheid erhoben werden (vgl. BGE 142 III 413 E. 2.2.4 mit weite- ren Hinweisen; BGer 5A_111/2016 vom 6. September 2016, E. 5.3; BGer 4A_258/2015 vom 21. Oktober 2015, E. 2.4.3; BGer 4A_290/2014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