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LY200001 vom 20. Februar 2020</w:t>
      </w:r>
    </w:p>
    <w:p>
      <w:r>
        <w:t>ZH Obergericht, 2020-02-20, DE</w:t>
      </w:r>
    </w:p>
    <w:p>
      <w:r>
        <w:rPr>
          <w:b/>
        </w:rPr>
        <w:t xml:space="preserve">Quelle: </w:t>
      </w:r>
      <w:r>
        <w:t>https://mcp.opencaselaw.ch/entscheid/zh_obergericht_LY200001</w:t>
      </w:r>
    </w:p>
    <w:p>
      <w:r>
        <w:t>FR: ZH_OBERGERICHT LY200001 du 20 février 2020</w:t>
      </w:r>
    </w:p>
    <w:p>
      <w:r>
        <w:t>IT: ZH_OBERGERICHT LY200001 del 20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sind verheiratet und haben einen Sohn, C._____, geboren am tt.mm.2013. Seit dem 9. Februar 2017 stehen sie vor dem Einzelgericht im sum- marischen Verfahren am Bezirksgericht Zürich in einem Eheschutzverfahren (Prozess Nr. EE170047-L) und seit dem 4. Januar 2019 im Scheidungsprozess vor der Vorinstanz. Für den genauen Prozessverlauf und die ausgefällten Verfü- gungen betreffend Obhut/Betreuungsregelung ist auf die Erwägungen im ange- fochtenen Entscheid zu verweisen (Urk. 2 S. 6 ff.). Mit Verfügung vom 21. No- vember 2019 in unbegründeter und auf Ersuchen der Beklagten und Berufungs- klägerin (fortan Beklagte) in begründeter Ausfertigung fällte die Vorinstanz den eingangs zitierten Entscheid.</w:t>
      </w:r>
    </w:p>
    <w:p>
      <w:r>
        <w:rPr>
          <w:b/>
        </w:rPr>
        <w:t>E. 2</w:t>
      </w:r>
    </w:p>
    <w:p>
      <w:r>
        <w:t>Die Beklagte erhob am 3. Januar 2020 fristgerecht Berufung mit den er- wähnten Anträgen (Urk. 1 S. 2 f.). Am 16. Januar 2020 erliess die Präsidentin der Kammer die folgende Verfügung (Urk. 7 S. 18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