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LY190041 vom 18. November 2019</w:t>
      </w:r>
    </w:p>
    <w:p>
      <w:r>
        <w:t>ZH Obergericht, 2019-11-18, DE</w:t>
      </w:r>
    </w:p>
    <w:p>
      <w:r>
        <w:rPr>
          <w:b/>
        </w:rPr>
        <w:t xml:space="preserve">Quelle: </w:t>
      </w:r>
      <w:r>
        <w:t>https://mcp.opencaselaw.ch/entscheid/zh_obergericht_LY190041</w:t>
      </w:r>
    </w:p>
    <w:p>
      <w:r>
        <w:t>FR: ZH_OBERGERICHT LY190041 du 18 novembre 2019</w:t>
      </w:r>
    </w:p>
    <w:p>
      <w:r>
        <w:t>IT: ZH_OBERGERICHT LY190041 del 18 novembre 2019</w:t>
      </w:r>
    </w:p>
    <w:p>
      <w:pPr>
        <w:pStyle w:val="Heading2"/>
      </w:pPr>
      <w:r>
        <w:t>Erwägungen</w:t>
      </w:r>
    </w:p>
    <w:p>
      <w:r>
        <w:rPr>
          <w:b/>
        </w:rPr>
        <w:t>E. 1</w:t>
      </w:r>
    </w:p>
    <w:p>
      <w:r>
        <w:t>August 2019 bzw. spätestens per Schulbeginn aufzuheben (Prot. I S. 15), wur- de eine weitere Verhandlung betreffend vorsorgliche Massnahmen auf den 8. Au- gust 2019 angesetzt (Prot. I S. 18; Urk. 4/89). Am 24. Juli 2019 ging das bei der G._____ AG in Auftrag gegebene Gutachten zur Erziehungsfähigkeit der Parteien bei der Vorinstanz ein (Urk. 108). Betreffend den Verlauf des erstinstanzlichen Verfahrens kann im Übrigen auf die Erwägungen der Vorinstanz verwiesen wer- den (Urk. 4/123 E. 1 = Urk. 2 E. 1). Mit eingangs wiedergegebener, zunächst un- begründeter Verfügung vom 8. August 2019 entschied die Vorinstanz über die vorsorglichen Massnahmen (Urk. 4/116). Am 29. August 2019 wurde den Parteien und dem Kindesvertreter auf Verlangen des Beklagten (vgl. Urk. 4/119) die be- gründete Fassung des Entscheids zugestellt (Urk. 4/124).</w:t>
      </w:r>
    </w:p>
    <w:p>
      <w:r>
        <w:rPr>
          <w:b/>
        </w:rPr>
        <w:t>E. 1.1</w:t>
      </w:r>
    </w:p>
    <w:p>
      <w:r>
        <w:t>Die Vorinstanz hat in Anwendung von Art. 104 Abs. 3 ZPO den Entscheid über die Kosten- und Entschädigungsfolgen dem Endentscheid vorbehalten (Urk. 2, Dispositiv-Ziffer 9). Dabei hat es sein Bewenden.</w:t>
      </w:r>
    </w:p>
    <w:p>
      <w:r>
        <w:rPr>
          <w:b/>
        </w:rPr>
        <w:t>E. 1.2</w:t>
      </w:r>
    </w:p>
    <w:p>
      <w:r>
        <w:t>Für das Berufungsverfahren rechtfertigt sich in Anwendung von § 12 Abs. 1 und 2 in Verbindung mit § 2, § 5 Abs. 1, § 6 Abs. 1 und § 8 Abs. 1 GebV OG eine Entscheidgebühr von Fr. 3'000.–. Die Entschädigung für die Vertretung des Kin- des gehört ebenfalls zu den Gerichtskosten (Art. 95 Abs. 2 lit. e ZPO) und ist im Entscheiddispositiv festzusetzen. Die Bemessung der Entschädigung ist bundes- rechtlich nicht geregelt. Vielmehr setzen die Kantone die Tarife fest (Art. 96 ZPO). Rechtsgrundlage für die Festsetzung der Entschädigung für die anwaltliche Kin- desvertretung ist im Kanton Zürich die Anwaltsgebührenverordnung (vgl. BGE 142 III 153 E. 5.3.4.2). Vorliegend erscheint angesichts des notwendigen Zeitauf- wands und der Verantwortung des Kindesvertreters sowie der Schwierigkeit des Falles (vgl. § 2 Abs. 1 AnwGebV) die von ihm geltend gemachte und von den Par- teien nicht beanstandete Entschädigung von insgesamt Fr. 1'038.70 (Urk. 15) als angemessen.</w:t>
      </w:r>
    </w:p>
    <w:p>
      <w:r>
        <w:rPr>
          <w:b/>
        </w:rPr>
        <w:t>E. 1.3</w:t>
      </w:r>
    </w:p>
    <w:p>
      <w:r>
        <w:t>Bei streitigen Kinderbelangen werden die Prozesskosten praxisgemäss un- abhängig vom Ausgang des Verfahrens den Parteien je zur Hälfte auferlegt und die Parteientschädigungen wettgeschlagen, wenn die Parteien unter dem Ge- sichtspunkt des Kindesinteresses gute Gründe zur Antragsstellung hatten (Art. 107 Abs. 1 lit. c ZPO; ZR 84 Nr. 41; OGer ZH LE140047 vom 21.01.2015, E. IV/2). Solche Gründe können den Parteien vorliegend nicht abgesprochen werden. Entsprechend sind die Kosten des Berufungsverfahrens den Parteien je zur Hälfte aufzuerlegen und die Parteientschädigungen wettzuschlagen. 2. Gesuche um Zusprechung eines Prozesskostenvorschusses / Gewährung der unentgeltlichen Rechtspflege</w:t>
      </w:r>
    </w:p>
    <w:p>
      <w:r>
        <w:t>- 23 -</w:t>
      </w:r>
    </w:p>
    <w:p>
      <w:r>
        <w:rPr>
          <w:b/>
        </w:rPr>
        <w:t>E. 2</w:t>
      </w:r>
    </w:p>
    <w:p>
      <w:r>
        <w:t>Dagegen erhob der Beklagte innert Frist Berufung und stellte die eingangs erwähnten Anträge (Urk. 1 S. 2). Mit Verfügung vom 17. September 2019 wurde der Klägerin und Berufungsbeklagten (fortan Klägerin) Frist zur Berufungsantwort angesetzt (Urk. 7). Die innert Frist erstattete Berufungsantwort der Beklagten da- tiert vom 23. September 2019 (Urk. 8). Mit Verfügung vom 25. September 2019 wurde diese der Gegenpartei zur Kenntnisnahme zugestellt und zugleich dem Kindesvertreter Frist angesetzt, um zu den bisherigen Eingaben der Parteien im Berufungsverfahren Stellung zu nehmen (Urk. 12). Mit Eingabe vom 3. Oktober 2019 reichte der Kindesvertreter fristgerecht eine entsprechende Stellungnahme ein (Urk. 13), welche den Parteien zur Kenntnisnahme zugestellt wurde. Weitere Eingaben erfolgten nicht. II. 1. Gegenstand des vorliegenden Verfahrens sind der Entzug des Aufenthalts- bestimmungsrechts bzw. die Unterbringung des Sohnes D._____ im E._____, und die Betreuungsregelung sowie die Befugnisse der Beiständin, soweit sie ihn</w:t>
      </w:r>
    </w:p>
    <w:p>
      <w:r>
        <w:t>- 9 - anbelangen. Nicht angefochten wurden die Dispositiv-Ziffern 3, 4 und 7, soweit sie den Entzug des Aufenthaltsbestimmungsrechts bzw. die Unterbringung der Tochter C._____ sowie die Befugnisse der Beiständin im Hinblick auf sie betref- fen. Die Dispositiv-Ziffern 1, 5 und 8 des vorinstanzlichen Entscheides blieben ebenfalls unangefochten, weshalb diese gleichermassen in Rechtskraft erwach- sen sind (Art. 315 Abs. 1 ZPO). Dies ist vorzumerken.</w:t>
      </w:r>
    </w:p>
    <w:p>
      <w:r>
        <w:rPr>
          <w:b/>
        </w:rPr>
        <w:t>E. 2.1</w:t>
      </w:r>
    </w:p>
    <w:p>
      <w:r>
        <w:t>Vor Vorinstanz wurde beiden Parteien – wie im Übrigen auch im Verfahren der KESB Winterthur und des Bezirksrates Winterthur (vgl. Urk. 4/57; Urk. 4/72) – die unentgeltliche Rechtspflege gewährt (Urk. 4/54). Sowohl die Klägerin als auch der Beklagte ersuchen im Berufungsverfahren um Zusprechung eines Prozess- kostenvorschusses von Fr. 5'000.–; eventualiter um Gewährung der unentgeltli- chen Rechtspflege (Urk. 1 S. 2 und 4; Urk. 8 S. 3 und 6)</w:t>
      </w:r>
    </w:p>
    <w:p>
      <w:r>
        <w:rPr>
          <w:b/>
        </w:rPr>
        <w:t>E. 2.2</w:t>
      </w:r>
    </w:p>
    <w:p>
      <w:r>
        <w:t>Die Leistung eines Prozesskostenvorschusses bzw. -beitrages unter Ehe- gatten setzt voraus, dass der ansprechende Ehegatte nicht selbst über die nöti- gen Mittel verfügt, um das Verfahren zu führen. Verlangt ist – wie bei der unent- geltlichen Rechtspflege – die tatsächliche Bedürftigkeit (vgl. BGer 5A_103/2014 vom 4. Juni 2014, E. 6).</w:t>
      </w:r>
    </w:p>
    <w:p>
      <w:r>
        <w:rPr>
          <w:b/>
        </w:rPr>
        <w:t>E. 2.3</w:t>
      </w:r>
    </w:p>
    <w:p>
      <w:r>
        <w:t>Sowohl bei der Klägerin als auch beim Beklagten erscheint mit Blick auf ihre Einkommens- und Vermögensverhältnisse die Mittellosigkeit im Sinne des Geset- zes glaubhaft. Die Klägerin wird durch die Sozialen Dienste unterstützt (Urk. 4/3/3) und hat erhebliche Schulden (Urk. 4/21/8). Dem Beklagten verbleibt nach Deckung seines Existenzminimums und der Erfüllung der Kinderunterhalts- beiträge kein Überschuss (vgl. Urk. 4/21/3-4; Urk. 4/44; Urk. 4/18/28), zudem ist er ebenfalls verschuldet (Urk. 4/21/8). Angesichts der Mittellosigkeit beider Partei- en fällt die Zusprechung eines Prozesskostenvorschusses ausser Betracht. Die entsprechenden Anträge auf Zusprechung eines Prozesskostenvorschusses sind daher abzuweisen. Die Prozessstandpunkte der Parteien können nicht als aus- sichtslos bezeichnet werden (vgl. OGer ZH PC120021 vom 07.06.2012, E. II.4) und die mittellosen und rechtsunkundigen Parteien waren für die sachgerechte Wahrung ihrer Rechte im vorliegenden Berufungsverfahren auf anwaltlichen Bei- stand angewiesen. Daher ist ihnen für das Berufungsverfahren die unentgeltliche Rechtspflege zu gewähren und der Klägerin in der Person von Rechtsanwältin MLaw Y._____ eine unentgeltliche Rechtsbeiständin, dem Beklagten in der Per- son von Rechtsanwältin Dr. iur. X._____ eine unentgeltliche Rechtsbeiständin zu bestellen.</w:t>
      </w:r>
    </w:p>
    <w:p>
      <w:r>
        <w:t>- 24 - Es wird beschlossen:</w:t>
      </w:r>
    </w:p>
    <w:p>
      <w:r>
        <w:rPr>
          <w:b/>
        </w:rPr>
        <w:t>E. 2.4</w:t>
      </w:r>
    </w:p>
    <w:p>
      <w:r>
        <w:t>Unzutreffend ist die Behauptung des Beklagten, seine Persönlichkeit werde im Gutachten auf einem hoch abstrakten, wenig aussagekräftigen Niveau be- schrieben (Urk. 1 Rz. 21). So ist die vom Beklagten in der Berufung thematisierte Würdigung der Gutachterinnen, dass die Fähigkeiten des Beklagten zur kritischen Selbstreflexion, Empathie und Perspektivenübernahme deutlich eingeschränkt seien (Urk. 4/108 S. 60), bereits für sich alleine unmissverständlich. Im Gutachten vom 22. Juli 2019 wird diesbezüglich zudem an diversen Stellen verdeutlichend angeführt, der Beklagte nehme die Bedürfnisse seiner Kinder kaum wahr. Er trete auch den Kindern gegenüber grenzüberschreitend auf (wie sich auch aus den ausführlichen Verhaltensbeobachtungen der Gutachterinnen während dem Ge- spräch des Beklagten mit den Kindern vom 8. Juli 2019 ergibt, vgl. Urk. 4/108 S. 49 f.) und habe durch aggressive Aufforderungen und Beeinflussungsversuche massiv Druck aufgebaut. Es sei ihm nicht gelungen, die elterlichen Themen kindsgerecht zu behandeln. Anstatt die Kinder vor einem Loyalitätskonflikt zu schützen, habe er diesen aktiv verschärft, indem er sich beispielsweise von D._____ habe berichten lassen, was C._____ in der Krisenintervention F._____ oder in der Therapie über die Situation zuhause erzähle (Urk. 4/108 S. 60 f., 71).</w:t>
      </w:r>
    </w:p>
    <w:p>
      <w:r>
        <w:t>- 15 - Ebenso wenig ist dem Beklagten zu folgen, wenn er vorbringt, die Gutachterinnen hätten ihn nur an zwei Gesprächen kennengelernt und beobachten können, was entgegen der Vorinstanz nicht ausreiche, um eine ganzheitliche Beurteilung sei- ner Person und Fähigkeiten vorzunehmen (Urk. 1 Rz. 21). Wie bereits erwähnt (vgl. E. III.2.2) fanden immerhin drei Untersuchungskontakte mit dem Beklagten mit einer Dauer von gesamthaft 260 Minuten statt, und den Gutachterinnen lagen – neben sämtlichen Akten der Vorinstanz (vgl. Urk. 4/108 S. 4) – diverse Berichte und telefonische Auskünfte von involvierten Drittpersonen vor (vgl. Urk. 4/108 S. 4, 9 ff., 51 ff.). Wesentlich ist schliesslich ohnehin nicht die für die Exploration aufgewendete Zeit, sondern die Qualität einer Begutachtung.</w:t>
      </w:r>
    </w:p>
    <w:p>
      <w:r>
        <w:rPr>
          <w:b/>
        </w:rPr>
        <w:t>E. 2.5</w:t>
      </w:r>
    </w:p>
    <w:p>
      <w:r>
        <w:t>Der Beklagte beanstandet, an ihn und die Kindesmutter würden Massstäbe angelegt und ein Verhalten verlangt, die von Erziehungsvorstellungen des schweizerischen Mittelstandes geprägt seien und dem in der Schweiz anerkann- ten und verfassungsrechtlich geschützten Wertepluralismus widersprächen. Tau- sende von Eltern hierzulande erzögen ihre Kinder in eklatantem Widerspruch (teilweise religiös bedingt) zu den idealen Erziehungsvorstellungen. Auch sei es klar, dass die Pubertät die Eltern vor grosse Herausforderungen stelle und erzie- herisches Fehlverhalten in dieser Entwicklungsphase häufig vorkomme. Zudem prallten hier die unterschiedlichsten Erziehungsvorstellungen aufeinander, was aber in einer pluralistischen Gesellschaft ohne Weiteres zu tolerieren sei. Etwas veraltete und teilweise rigide Erziehungsvorstellungen, die vom schweizerischen Mittelstand abwichen, könnten keinen Grund darstellen, die Erziehungsfähigkeit der Eltern in Frage zu stellen und von einer eine Fremdplatzierung notwendig ma- chenden Kindswohlgefährdung auszugehen. Dies werde aber im Gutachten ge- macht. So werde beispielsweise hervorgehoben, dass die zwölfjährige C._____ sich im F._____ erstmals habe schminken und ein enges T-Shirt habe tragen können (Urk. 1 Rz. 25). Mit dem Beklagten ist dahingehend einig zu gehen, dass im Rahmen der persön- lichen Freiheit unterschiedliche Erziehungsvorstellungen bzw. -stile, in den Gren- zen, die das Recht setzt, möglich sein müssen. Eine solche Grenze wird aber namentlich durch das (objektive) Kindeswohl gesetzt. Vorliegend stehen nicht</w:t>
      </w:r>
    </w:p>
    <w:p>
      <w:r>
        <w:t>- 16 - "etwas veraltete und teilweise rigide Erziehungsvorstellungen" des Beklagten auf dem Prüfstand. Ausschlaggebend für die Fremdplatzierung von D._____ war bzw. ist in casu, dass die Gutachterinnen zum Schluss kamen, dem Beklagten fehlten grundlegende erzieherische Kompetenzen und bei einer Rückkehr der Kinder in seine Obhut sei von einer Kindeswohl- sowie Entwicklungsgefährdung auszuge- hen (Urk. 4/108 S. 64, 70, 73). Die Gutachterinnen legten namentlich in Bezug auf die mangelhaften erzieherischen Fähigkeiten des Beklagten Folgendes dar: "Sein Erziehungsverhalten konnte aus gutachterlicher Sicht als tendenziell stur, mit we- nig Raum für Verständnisbereitschaft, Selbstbestimmung, Individualität und Ak- zeptanz, jedoch mit überdeutlichem Engagement bezeichnet werden. Er konnte kaum andere als seine eigenen Einstellungen zulassen, was ihn erzieherisch hin- sichtlich Empathie, Emotionalität und Selbstwirksamkeitsüberzeugungen deutlich einschränkte. Er zeigte weder die Fähigkeit zu konstruktiven, ausreichend selbst- kritischen Introspektions- und Reflexionsfähigkeit, noch die notwendige Verände- rungsfähigkeit." (Urk. 4/108 S. 73). Im Weiteren kamen die Gutachterinnen zum Schluss, beiden Elternteilen sei es bis anhin nicht gelungen, ausreichend für die Kinder verfügbar zu sein, so dass das Zuhause als vernachlässigendes Umfeld bezeichnet werden müsse. Beide Elternteile seien in ihrem elterlichen Handeln nicht an den Bedürfnissen der Kinder nach Stabilität, Orientierung, Halt und Si- cherheit orientiert (Urk. 4/108 S. 67). Insofern schälten die Gutachterinnen die De- fizite im Erziehungsverhalten des Beklagten, welche zur Kindeswohlgefährdung führen, auch deutlich heraus. Damit hat es sein Bewenden.</w:t>
      </w:r>
    </w:p>
    <w:p>
      <w:r>
        <w:rPr>
          <w:b/>
        </w:rPr>
        <w:t>E. 2.6</w:t>
      </w:r>
    </w:p>
    <w:p>
      <w:r>
        <w:t>Der Beklagte moniert, D._____ könne schon jetzt die Wochenenden von Freitagabend bis Sonntagabend bei ihm verbringen. Offenbar attestierten die Gutachterinnen ihm, dass er in dieser Zeit – d.h. während 2.5 von 7 Wochentagen – die erzieherische Verantwortung für seinen Sohn wahrnehmen könne, was im Gegensatz zu ihren eigenen Aussagen stehe. Wenn D._____ den überwiegenden Teil seiner Freizeit mit ihm verbringen dürfe und solle, so müsste einlässlich dis- kutiert und aufgezeigt werden, warum für die Morgen- und Abendbetreuung unter der Woche zwingend eine Fremdplatzierung notwendig sei. Dies insbesondere auch deshalb, weil D._____ die Fremdplatzierung nicht wünsche (Urk. 1 Rz. 26 f.).</w:t>
      </w:r>
    </w:p>
    <w:p>
      <w:r>
        <w:t>- 17 - Der Beklagte verkennt, dass die Betreuung eines Kindes im Rahmen eines Wo- chenendbesuchsrechts nicht mit der Übernahme der vollen Betreuungsverantwor- tung, welche qualifizierten Anforderungen unterliegt, gleichgestellt werden kann. So lassen sich insbesondere die Auswirkungen eines Erziehungsdefizites eines Elternteils deutlich abschwächen, wenn die Betreuung durch ihn zeitlich begrenzt ist. Es gilt denn auch dem im Gutachten betonten Umstand Rechnung zu tragen, wonach weiter beobachtet werden muss, ob sich in einem längeren Zeitrahmen eine Stabilität in der Wohn- und Arbeitssituation des Beklagten ergibt und die Drogenabstinenz nachweislich anhält (Urk. 4/108 S. 65, 72). Die derzeit noch nicht eindeutig beendete Instabilität der Lebenssituation des Beklagten kann mit- hin durch eine Fremdplatzierung von D._____ deutlich besser aufgefangen wer- den. Die Kritik des Beklagten erweist sich insofern als unbegründet.</w:t>
      </w:r>
    </w:p>
    <w:p>
      <w:r>
        <w:rPr>
          <w:b/>
        </w:rPr>
        <w:t>E. 2.7</w:t>
      </w:r>
    </w:p>
    <w:p>
      <w:r>
        <w:t>Als unzutreffend erweist sich der Vorhalt des Beklagten, er werde als stark manipulativ beurteilt ohne Konkretisierung und ohne Beispiele, die dies belegten (Urk. 1 Rz. 30). Die Vorinstanz erwog, aus der jüngsten Anhörung der Kinder ha- be sich deutlich ergeben, dass der Beklagte nach wie vor seine Tochter C._____ für die Fremdplatzierung verantwortlich mache und D._____ insofern negativ be- einflusse, als dass er ihn für seine Wochenendbesuche belohne und ihm einrede, alle seien gegen ihn und würden ihm nur Schlechtes wollen. Mit seinem Verhal- ten, so die Vorinstanz weiter, verursache der Beklagte bei seinen Kindern massi- ve Loyalitätskonflikte und gefährde damit nicht nur seine Beziehung zu seinen Kindern, sondern auch die Beziehung der Geschwister untereinander (Urk. 2 E. 3.3.4). Diese Gefahr ist – entgegen der Auffassung des Beklagten (vgl. Urk. 1 Rz. 30) – auch nicht einzig mit der Rückplatzierung von D._____ in die Obhut des Beklagten gebannt. Auch im Gutachten vom 22. Juli 2019 wird festgehalten, an- statt die Geschwisterbeziehung zu fördern, scheine der Beklagte einen Konflikt zwischen seinen Kindern zu schüren, indem er sich beispielsweise von D._____ habe berichten lassen, was C._____ in der Krisenintervention F._____ oder in der Therapie über die Situation zuhause erzählt habe (Urk. 4/108 S. 61). Ebenfalls führten die Gutachterinnen aus, es sei zum Zeitpunkt der vorliegenden Begutach- tung offensichtlich gewesen, dass D._____ noch deutlich dem manipulativen Ein- fluss des Kindsvaters ausgesetzt gewesen sei, weshalb sein verbal geäusserter</w:t>
      </w:r>
    </w:p>
    <w:p>
      <w:r>
        <w:t>- 18 - Wunsch beim Kindsvater zu leben, kritisch verstanden und konnotiert werden müsse (Urk. 4/108 S. 72). Wie die Vorinstanz zu Recht bemerkte (vgl. Urk. 2 E. 3.3.4) macht das manipulative Verhalten des Beklagten deutlich, dass es ihm nicht gelingt, seine eigenen Wünsche und Bedürfnisse zurückzustellen bzw. den Interessen seiner Kinder unterzuordnen, was für eine eingeschränkte Erziehungs- fähigkeit des Beklagten spricht und insofern eine Gefährdung des Kindswohls mit sich bringt. Soweit der Beklagte vorbringt, ohnehin sage ein anlässlich der stres- sigen Begutachtungssituation erfolgtes manipulatives Verhalten nichts darüber aus, wie sich sein Zusammenleben mit D._____ bzw. beiden Kindern gestalten würde (Urk. 1 Rz. 30), ist ihm die diesbezüglich einschlägige vorinstanzliche Er- wägung entgegenzuhalten. Die Vorinstanz führte nämlich zu Recht aus, es sei nicht zu kritisieren, dass das Verhalten des Beklagten im Umgang mit Konfliktsi- tuationen ebenfalls als Kriterium für die Beurteilung seiner Erziehungsfähigkeit herangezogen werde (Urk. 2 E. 3.3.4).</w:t>
      </w:r>
    </w:p>
    <w:p>
      <w:r>
        <w:rPr>
          <w:b/>
        </w:rPr>
        <w:t>E. 2.8</w:t>
      </w:r>
    </w:p>
    <w:p>
      <w:r>
        <w:t>Der Beklagte bringt vor, die Vorinstanz führe aus, D._____ sei nicht in der Lage, mögliche Probleme des Wohnens bei seinem Vater zu erkennen. Nicht ausgeführt und nachzuvollziehen sei, warum und welche Probleme D._____ er- kennen müsste, damit sein Wille ernst genommen werden könnte. Die Vorbehal- te, welche die Gutachterinnen und die Vorinstanz dem Beklagten gegenüber hät- ten, seien für ein Kind im Alter von D._____ gar nicht erkennbar. Wie solle sich D._____ beispielsweise mit dem früheren Kokainkonsum des Beklagten und des- sen Auswirkungen befassen, wenn nicht einmal C._____ etwas von diesem Kon- sum bemerkt habe (Urk. 1 Rz. 36). Es ist nicht eindeutig, was der Beklagte hieraus zu seinen Gunsten ableiten möchte. Es bleibt in diesem Zusammenhang gleichwohl festzuhalten, dass der eruierbare Kindeswille nicht identisch sein muss mit dem objektiven Kindeswohl. Nicht selten besteht ein mehr oder weniger ausgeprägter Konflikt zwischen Kin- deswohl und Kindeswille. Der Kindeswille ist zwar grundsätzlich zu berücksichti- gen, ist für das Gericht jedoch nicht verbindlich (FamKomm Scheidung/Büchler/ Clausen, Art. 133 ZGB N 13 m.w.Hinw.). Dem Kind kommt kein freies Wahlrecht zu, wo und bei welchem Elternteil es leben möchte (BGer 5A_428/2014 vom</w:t>
      </w:r>
    </w:p>
    <w:p>
      <w:r>
        <w:t>- 19 - 22. Juli 2014, E. 6.1; BGer 5D_171/2009 vom 1. Juni 2010, E. 2). Das Gesetz selber bringt mit der Einschränkung "soweit tunlich" in Art. 133 Abs. 2 ZGB zum Ausdruck, dass dem Kindeswille je nach den konkreten Umständen ein unter- schiedlicher Stellenwert beizumessen ist. Nach der Rechtsprechung sind bei der Berücksichtigung des Willens des Kindes zunächst dessen Alter bzw. dessen Fä- higkeit zu autonomer Willensbildung zentral (BGer 5A_404/2015 vom 27. Juni 2016, E. 5.2.5; BGer 5A_890/2014 vom 11. Februar 2015, E. 2.3.2; BGer 5A_719/2013 vom 17. Oktober 2014, E. 4.4). Mithin erscheint sachgerecht, dass die Vorinstanz im Zusammenhang mit der Bedeutung, welche sie dem Zutei- lungswunsch von D._____ beimass, berücksichtigte, dass D._____ vom Beklag- ten massiv unter Druck gesetzt wird und als 10-jähriger Junge die Tragweite bzw. die Konsequenzen seines Wunsches, beim Beklagten zu leben, nicht abschlies- send abschätzen kann (Urk. 2 E. 3.3.6).</w:t>
      </w:r>
    </w:p>
    <w:p>
      <w:r>
        <w:rPr>
          <w:b/>
        </w:rPr>
        <w:t>E. 2.9</w:t>
      </w:r>
    </w:p>
    <w:p>
      <w:r>
        <w:t>Dass D._____ und C._____ für den Beklagten gute Worte finden, wie dieser berufungsweise weiter geltend macht (Urk. 1 Rz. 31 f., 37), geht aus dem Gutach- ten hervor (Urk. 4/108 S. 41, 46), vermag aber nichts an der Tatsache zu ändern, dass die Gutachterinnen eine deutliche Einschränkung der Erziehungsfähigkeit des Beklagten und aufgrund dessen eine Gefährdung des Kindeswohls bei einer Rückkehr der Kinder in seine Obhut festgestellt haben (Urk. 4/108 S. 64, 70). Un- zutreffend ist das Vorbringen des Beklagten, die Vorinstanz führe nicht aus, wa- rum offensichtlich sein solle, dass er D._____ unter Druck setze (Urk. 1 Rz. 37). Die Vorderrichterin legte nämlich dar, dass bei ihr dieser Eindruck anlässlich der Kinderanhörung vom 6. August 2019 entstanden sei (Urk. 2 E. 3.3.6). Sie hob un- ter Hinweis auf die entsprechende Protokollstellen (Prot. I S. 28 ff.) hervor, es ha- be sich ergeben, dass der Beklagte D._____ insofern negativ beeinflusse, als dass er ihn für seine Wochenendbesuche belohne und ihm einrede, alle seien gegen ihn und würden ihm nur Schlechtes wollen (Urk. 2 E. 3.3.4). Davon, dass die Kinder vom Beklagten hinsichtlich einer Rückkehr in seine Obhut (massiv) un- ter Druck gesetzt werden, berichten im Übrigen neben C._____ (vgl. Urk. 4/108 S. 39, 42) auch die Beiständin (Urk. 4/94 S. 2), die Fachpersonen der Kriseninter- vention F._____ (Urk. 4/78 S. 2) sowie die Gutachterinnen (Urk. 4/108 S. 62, 71 f.). Sowohl J._____ von der Krisenintervention F._____ (Urk. 4/108 S. 53) als</w:t>
      </w:r>
    </w:p>
    <w:p>
      <w:r>
        <w:t>- 20 - auch die Gutachterinnen (Urk. 4/108 S. 62, 72) äusserten überdies erhebliche Bedenken, ob es sich beim von D._____ geäusserten Wunsch, beim Beklagten zu wohnen, um einen eigenständigen und von den Wünschen seiner Eltern losge- lösten Willen handelt. Vor diesem Hintergrund ist nicht zu beanstanden, dass die Vorinstanz zum Schluss kam, es rechtfertige sich nicht, unbesehen der übrigen Umstände bloss auf den Wunsch D._____s abzustellen (Urk. 2 E. 3.3.6). Entge- gen der Auffassung des Beklagten in Rz. 38 seiner Berufungsschrift (Urk. 1) lässt sich auch keine Widersprüchlichkeit des Gutachtens ausmachen, wenn die Gut- achterinnen gleichzeitig in Zusammenhang mit den Besuchen bei den Eltern wäh- rend der Fremdplatzierung festhalten, es sei aus ihrer Sicht zwingend, dass dabei die Bedürfnisse und Wünsche von C._____ und D._____ berücksichtigt würden (Urk. 4/108 S. 65). So rücken die Gutachterinnen damit einzig in den Vorder- grund, dass sich die Ausgestaltung bzw. die Modalitäten der Kontaktregelung am Kindswohl zu orientieren haben, mithin der (sich auch aus den Äusserungen D._____s ergebenden und im Gutachten [vgl. Urk. 4/108 S. 72] sowie in der Beru- fungsschrift vom Beklagten hervorgehobenen [Urk. 1 Rz. 35]) innigen Beziehung von D._____ und dem Beklagten bei der Ausgestaltung der Kontakte angemes- sen Rechnung zu tragen ist.</w:t>
      </w:r>
    </w:p>
    <w:p>
      <w:r>
        <w:rPr>
          <w:b/>
        </w:rPr>
        <w:t>E. 2.10</w:t>
      </w:r>
    </w:p>
    <w:p>
      <w:r>
        <w:t>Der Beklagte geht fehl in der Annahme, das Gutachten sei insofern un- vollständig, als es keine Alternativen zur Fremdplatzierung in Erwägung gezogen habe (Urk. 1 Rz. 41). Im Gutachten wird mehrfach festgehalten, aus gutachterli- cher Sicht sei eine Unterbringung von C._____ und D._____ im Sinne einer Dau- erpflege in einer entsprechend geeigneten Einrichtung zu empfehlen, um weiteren Entwicklungsgefährdungen vorzubeugen, die Gesamtsituation zu stabilisieren und Ruhe in die eklatant instabile und permanent unklare familiäre Situation zu brin- gen (Urk. 4/108 S. 65, 74). Indem die Gutachterinnen zudem bemerkten, die Fremdplatzierung der beiden Kinder C._____ und D._____ in der Kriseninterven- tion F._____ "waren und sind sachdienlich und zweck- und verhältnismässig" (Urk. 4/108 S. 70) brachten sie zum Ausdruck, dass aus ihrer Sicht Alternativen zur Fremdplatzierung nicht in Frage kommen. Die Gutachterinnen wiesen über- dies zu Recht darauf hin, dass verschiedene Unterstützungsmassnahmen und ein Helfernetzwerk nicht für eine konstante Veränderung sorgen konnten (Urk. 4/108</w:t>
      </w:r>
    </w:p>
    <w:p>
      <w:r>
        <w:t>- 21 - S. 65). So brachte – neben der bereits in der Vergangenheit installierten Famili- enbegleitung (vgl. Urk. 4/35; Urk. 4/108 S. 56) – insbesondere die mit Beschluss der KESB Winterthur vom 28. August 2018 für die beiden Kinder angeordnete Er- ziehungsbeistandschaft i.S.v. Art. 308 Abs. 1 ZGB (Urk. 4/12) keine Stabilisierung der familiären Gesamtsituation. Es bleibt im Übrigen darauf hinzuweisen, dass die Beiständin I._____ den Gutachterinnen kurz vor Abschluss des Gutachtens am 11. Juli 2019 mitteilte, der Beklagte "könne nicht reflektieren, was seine Ressour- cen seien und was er ändern müsste, damit die Kinder bei ihm leben könnten. In- zwischen wolle er mit Frau I._____ nichts mehr zu tun haben. Eine Zusammenar- beit mit Herrn A._____ sei nicht mehr möglich" (Urk. 4/108 S. 57). Dies lässt die Kooperationsbereitschaft des Beklagten hinsichtlich der von ihm in seiner Beru- fung erwähnten sozialpädagogischen Familienbegleitung ohnehin fraglich er- scheinen.</w:t>
      </w:r>
    </w:p>
    <w:p>
      <w:r>
        <w:rPr>
          <w:b/>
        </w:rPr>
        <w:t>E. 3</w:t>
      </w:r>
    </w:p>
    <w:p>
      <w:r>
        <w:t>Zusammenfassend ist festzuhalten, dass das Gutachten vom 22. Juli 2019 (Urk. 4/108) nicht zu beanstanden ist, weder hinsichtlich seiner Vollständigkeit, seiner Klarheit noch seiner Schlüssigkeit, weshalb von seiner Verwertbarkeit als Beweismittel für das vorliegende Verfahren auszugehen ist. Mit dem Gutachten und der Vorinstanz (vgl. Urk. 2 E. 3.3.4, 3.3.7) ist insofern zu folgern, dass die Er- ziehungsfähigkeit des Beklagten eingeschränkt und im Falle einer Aufhebung der Fremdplatzierung und einer Rückkehr von D._____ in seine Obhut von einer Kin- deswohlgefährdung auszugehen ist, weshalb der Entzug des Aufenthaltsbestim- mungsrechts betreffend D._____ nach wie vor zweck- und verhältnismässig ist. Wie die Vorinstanz zutreffend erwog, sind es nicht die äusseren Umstände, wel- che die Erziehungsfähigkeit des Beklagten einschränken, sondern viel mehr sein Verhalten. Der Bezug einer eigenen Wohnung reicht daher als stabilisierendes Kriterium nicht aus. Die Berufung ist daher abzuweisen und die Dispositiv-Ziffern 2, 3, 4, 6 und 7 der Verfügung des Einzelgerichts im ordentlichen Verfahren am Bezirksgericht Winterthur vom 8. August 2019 sind, soweit sie den Sohn D._____ betreffen, zu bestätigen (Art. 318 Abs. 1 lit. a ZPO). Demzufolge ist auf den An- trag der Klägerin auf Neuregelung des Besuchsrechts nicht weiter einzugehen.</w:t>
      </w:r>
    </w:p>
    <w:p>
      <w:r>
        <w:t>- 22 - IV.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