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LY180028 vom 13. August 2018</w:t>
      </w:r>
    </w:p>
    <w:p>
      <w:r>
        <w:t>ZH Obergericht, 2018-08-13, DE</w:t>
      </w:r>
    </w:p>
    <w:p>
      <w:r>
        <w:rPr>
          <w:b/>
        </w:rPr>
        <w:t xml:space="preserve">Quelle: </w:t>
      </w:r>
      <w:r>
        <w:t>https://mcp.opencaselaw.ch/entscheid/zh_obergericht_LY180028</w:t>
      </w:r>
    </w:p>
    <w:p>
      <w:r>
        <w:t>FR: ZH_OBERGERICHT LY180028 du 13 août 2018</w:t>
      </w:r>
    </w:p>
    <w:p>
      <w:r>
        <w:t>IT: ZH_OBERGERICHT LY180028 del 13 agosto 2018</w:t>
      </w:r>
    </w:p>
    <w:p>
      <w:pPr>
        <w:pStyle w:val="Heading2"/>
      </w:pPr>
      <w:r>
        <w:t>Erwägungen</w:t>
      </w:r>
    </w:p>
    <w:p>
      <w:r>
        <w:rPr>
          <w:b/>
        </w:rPr>
        <w:t>E. 1</w:t>
      </w:r>
    </w:p>
    <w:p>
      <w:r>
        <w:t>Die Parteien heirateten am tt. März 2012. Aus der Ehe ging die Tochter C._____, geboren am tt.mm.2014, hervor (Urk. 6/23). Seit dem 8. Dezember 2015 leben die Parteien getrennt (Urk. 6/4). Mit eheschutzrichterlichem Entscheid des Einzelgerichts im summarischen Verfahren am Bezirksgericht Dietikon vom 9. März 2016 wurde das Getrenntleben der Parteien geregelt. Dabei wurde der Kläger und Berufungskläger (fortan Kläger) unter anderem verpflichtet, der Be- klagten und Berufungsbeklagten (fortan Beklagte) ab 1. Februar 2016 für die Dauer des Getrenntlebens monatliche Kindesunterhaltsbeiträge von Fr. 1'300.– (zuzüglich allfällige von ihm bezogene Kinderzulagen) sowie persönliche Unter- haltsbeiträge für die Beklagte von Fr. 500.– monatlich ab 1. Februar 2018 bis zu seinem Auszug aus der ehelichen Wohnung zu bezahlen (Urk. 6/6/33 S. 5).</w:t>
      </w:r>
    </w:p>
    <w:p>
      <w:r>
        <w:rPr>
          <w:b/>
        </w:rPr>
        <w:t>E. 2</w:t>
      </w:r>
    </w:p>
    <w:p>
      <w:r>
        <w:t>Mittels Eingabe vom 12. März 2018 reichte der Kläger beim Bezirksgericht Dietikon eine Scheidungsklage ein und ersuchte gleichzeitig um vorsorgliche Her- absetzung der geschuldeten Kindesunterhaltsbeiträge auf Fr. 100.– pro Monat (Urk. 6/1 S. 2 f.). Mit Verfügung vom 23. März 2018 wurde der Beklagten Frist zur Stellungnahme zum klägerischen Massnahmenbegehren anberaumt (Urk. 6/20). Innert erstreckter Frist (Urk. 6/16) bezog die Beklagte mit Eingabe vom 26. April 2018 rechtzeitig Stellung, wobei sie auf Abweisung des Herabsetzungsbegehrens Antrag stellen liess (Urk. 6/18 S. 2). Anlässlich der von der Vorinstanz auf den 8. Mai 2018 anberaumten Einigungsverhandlung sowie Verhandlung betreffend vorsorgliche Massnahmen hielt die Beklagte an diesem Antrag fest, beantragte jedoch für den Eventualfall die rückwirkende Erhöhung der Kindesunterhaltsbei- träge für C._____ für ein Jahr um Fr. 850.– Betreuungsunterhalt (Prot. I S. 12). Mit unbegründeter Verfügung vom 8. Mai 2018 wies die Vorinstanz das Gesuch des Klägers um Anordnung vorsorglicher Massnahmen ab (Urk. 2). Fristgerecht (Urk. 6/25/2) ersuchte der Kläger in der Folge mit Zuschrift vom 18. Mai 2018 um eine Entscheidbegründung (Urk. 6/26). Am 7. Juni 2018 wurde dem Kläger die begründete Fassung der Verfügung vom 8. Mai 2018 zugestellt (Urk. 6/28 = Urk. 2; Urk. 6/29/2).</w:t>
      </w:r>
    </w:p>
    <w:p>
      <w:r>
        <w:rPr>
          <w:b/>
        </w:rPr>
        <w:t>E. 3</w:t>
      </w:r>
    </w:p>
    <w:p>
      <w:r>
        <w:t>Der Kläger kritisiert mit seiner Berufung, der von der Vorinstanz zitierte BGE 143 III 233 sei keinesfalls vergleichbar mit dem vorliegenden Sachverhalt. Einer- seits handle es sich um ein überobligatorisches Zusatzeinkommen und nicht eine Hauptbeschäftigung, andererseits bestehe keine Schädigungsabsicht. Des Weite- ren sei die Möglichkeit der Wiederaufnahme des Zweitjobs komplett ausser Acht gelassen worden. Er arbeite schon seit Jahren zirka 120-Stellenprozente, um die eheschutzrichterlichen Unterhaltsbeiträge für die Tochter erbringen zu können. Dass er sich heute überfordert fühle, sei nachvollziehbar. Weil er praktisch pau- senlos arbeiten müsse, könne er seine Tochter überdies kaum sehen. Die Vor- instanz verlange von ihm praktisch, dass er sich soweit verausgaben müsste, bis er durch ein Burnout gar nicht mehr arbeitsfähig wäre. Aufgrund der jahrelangen Überbelastung sei die Kündigung notwendig geworden. Die Vorinstanz erkenne, dass die enorme Belastung ein Problem darstelle, indem sie explizit erwähne, dass sich der Entscheid nur auf die Dauer des Scheidungsverfahrens beziehe. Aufgrund einer Nachfrage sei ausserdem beim (Haupt-)Arbeitgeber klargestellt worden, dass die Weiterbeschäftigung nicht garantiert werden könne, sollte der Kläger erneut einen Zweitjob annehmen. Nur schon aus der Arbeitsbestätigung gehe hervor, dass der Kläger auch mit seinem Hauptjob durch die unregelmässi- gen Arbeitszeiten und Arbeitseinsätze mit Zimmerstunde ausgelastet sei. Die Möglichkeit - zusätzlich zur Zumutbarkeit - einer Wiederaufnahme eines Zweitjobs für die Dauer des Scheidungsverfahrens sei deshalb ebenfalls zu verneinen. Auf- grund seines gegenwärtigen Einkommens von Fr. 3'746.65 (inkl. 13. Monatslohn) sowie seines aktualisierten Bedarfs von Fr. 4'100.80 sei er, der Anrecht auf das Existenzminimum habe, nicht in der Lage, Unterhaltsbeiträge für seine Tochter zu bezahlen. Dennoch sei er bereit, ihr Fr. 100.– pro Monat zu bezahlen (Urk. 1 S. 3 ff.).</w:t>
      </w:r>
    </w:p>
    <w:p>
      <w:r>
        <w:rPr>
          <w:b/>
        </w:rPr>
        <w:t>E. 4</w:t>
      </w:r>
    </w:p>
    <w:p>
      <w:r>
        <w:t>Es ist kein Grund ersichtlich, die vorstehend erwähnte bundesgerichtliche Rechtsprechung, wonach eine Abänderung der Unterhaltsleistung selbst dann ausgeschlossen ist, wenn die Reduktion des (Haupt-)Einkommens nicht mehr rückgängig gemacht werden kann, sofern der Unterhaltspflichtige sein Einkom- men in Schädigungsabsicht vermindert (BGE 143 III 233, E. 3), nicht auch (ana- log) auf einen (zumutbaren) Nebenverdienst anzuwenden.</w:t>
      </w:r>
    </w:p>
    <w:p>
      <w:r>
        <w:t>- 7 - Die Vorinstanz hat die von Lehre und Praxis entwickelten Kriterien betreffend die Erzielung eines Nebenerwerbs zutreffend wiedergegeben (Urk. 2 S. 6 m.H.). Es kann darauf verwiesen werden. Der Kläger liess vor Vorinstanz protokollieren, er habe von Januar 2013 bis am 28. Februar 2018 bei D._____ als Reinigungsmit- arbeiter gearbeitet, jeweils von 18.00 Uhr bis 20.00 Uhr. Er habe dort um die Fr. 680.– verdient (Prot. I S. 18 f.). Seit dem 1. August 2015 ist er auch bei E._____ in F._____ [Stadtteil] als Gärtner und Hilfsarbeiter im Vollzeitverhältnis festangestellt. Zuvor war er dort stundenweise auf Abruf als Aushilfe arbeitstätig (Urk. 4/14; vgl. auch Urk. 6/6: Prot. S. 14). Von August 2015 bis Ende Februar 2018 bzw. während rund 2,5 Jahren verrichtete der Kläger mithin nebst seiner Vollzeitanstellung bei E._____ auch den Zusatzjob bei D._____ (vgl. auch Urk. 1 S. 4, wo der Kläger anerkennt, dass er schon seit Jahren ca. 120-Stellenprozente arbeite). Es ist daher von einer mehrjährigen regelmässig ausgeübten Nebener- werbstätigkeit auszugehen. Die Erzielung dieses Nebenerwerbs war und ist dem Kläger auch weiterhin zuzu- muten. Objektive Gründe für die seinerseits erfolgte Kündigung per Ende Februar 2018 wurden nicht hinreichend glaubhaft gemacht. Dass ein Burnout drohe, ist ei- ne blosse, durch nichts untermauerte Parteibehauptung. Insbesondere sind weder vermehrte, längere Krankschreibungen (vgl. Urk. 4/12, 14) noch sonstige ärztliche Bestätigungen aktenkundig, woraus zu schliessen wäre, dass dem 26-jährigen Kläger aus gesundheitlichen Gründen die Nebenerwerbstätigkeit nicht mehr län- ger zumutbar (gewesen) sein soll. Wie die Vorinstanz richtig gesehen hat, verleg- te die G._____ ihren Sitz - und damit den Arbeitsort des Klägers - von der H._____ in I._____ [Stadtteil] in den J._____ Park in K._____ [Stadtteil] bereits Ende Juni 2017 und damit mehr als ein halbes Jahr vor der Kündigung, weshalb auch dieser Umstand im Hinblick auf den Arbeitsweg die Kündigung nicht zu rechtfertigen vermag (Urk. 2 S. 7 f.; Prot. I S. 18). Die Arbeitsbelastung des Klä- gers ist zwar durchaus hoch. Zu bedenken ist aber, dass es hier um Kindesunter- haltsbeiträge geht und die Finanzen knapp sind. Die Beklagte, welche zwei Töch- ter im Alter von 4 und 15 Jahren (vgl. Urk. 6/62, 14) unter ihrer Obhut hat, nimmt ebenfalls ein überobligatorisches Arbeitspensum auf sich (Urk. 2 S. 9; Prot. I S. 23). Überdies wies die Vorinstanz zu Recht darauf hin, dass die bisherige Ne-</w:t>
      </w:r>
    </w:p>
    <w:p>
      <w:r>
        <w:t>- 8 - benerwerbstätigkeit dem Kläger jedenfalls für die (beschränkte) Dauer des Schei- dungsverfahrens weiterhin zumutbar sei (Urk. 2 S. 9). Weil, wie dargetan, keine objektiven nachvollziehbaren Gründe für die vom Kläger aus freien Stücken ausgesprochene Kündigung der Nebenerwerbstätigkeit vorlie- gen und zudem der Zeitpunkt der Kündigung per Ende Februar 2018 und damit kurz vor Anhebung der klägerischen Scheidungsklage am 13. März 2018 (Urk. 6/1) auf eine bloss prozesstaktische Motivation hinweist, kann nicht anders als auf eine Schädigungsabsicht des Klägers geschlossen werden, zumal sich mit den vom Kläger offerierten Fr. 100.– pro Monat der Unterhalt seiner Tochter selbstre- dend mitnichten finanzieren lässt. Dessen musste und muss sich auch der Kläger bewusst sein. Da somit davon auszugehen ist, dass der Kläger frei- und böswillig die Nebener- werbstätigkeit kündigte, kommt es nicht darauf an, ob er diese Kündigung rück- gängig machen kann oder nicht (vgl. BGE 143 III 233 E. 3). Dass die Kündigung nicht rückgängig machbar sei, wurde im Übrigen nicht substantiiert behauptet. Daher ändert auch die nachträglich beigebrachte "Stellungnahme Arbeitsverhält- nis" des E._____ vom 10. Mai 2018 nichts, wonach eine Weiterbeschäftigung des Klägers dort nicht garantiert werden könne, sollte der Kläger einen Zweitjob an- nehmen (Urk. 4/14). Es wird hiermit denn auch lediglich zum Ausdruck gebracht, dass ein Zweitjob keinen Einfluss auf den Haupterwerb haben dürfe. Bisher ver- mochte der Kläger die Haupt- und Nebentätigkeit offenbar stets zu koordinieren. Dabei liess er bereits im Eheschutzverfahren am 20. Januar 2016 protokollieren, da es sich beim E._____ um ein Eventlokal handle, müsse er manchmal auch bis 3 Uhr nachts arbeiten, unabhängig vom Wochentag. Er habe bei E._____ eher unregelmässige Arbeitszeiten und müsse teilweise auch am Wochenende arbei- ten. Wie häufig er bis 3 Uhr nachts arbeiten müsse, hänge stark von der Anzahl Events ab, die stattfänden. Im Moment sei es ungefähr viermal pro Monat, aber im Sommer beinahe täglich (Urk. 6/6: Prot. S. 12 f.). Dass sich seine Haupter- werbstätigkeit bei E._____ wesentlich verändert haben soll, tut der Kläger nicht glaubhaft dar (vgl. Prot. I S. 17 ff.), und es ergibt sich dies auch nicht aus den bei- den Arbeitgeberschreiben (Urk. 4/14). Und schliesslich behauptet der Kläger</w:t>
      </w:r>
    </w:p>
    <w:p>
      <w:r>
        <w:t>- 9 - nicht, dass die Firma D._____ ihn nicht erneut anstellen würde (Urk. 2 S. 8; Urk. 1 S. 3 ff.). Zusammengefasst hat die Vorinstanz nach dem Gesagten somit richtigerweise die Voraussetzungen eines Abänderungsgrundes (hinsichtlich des klägerischen Einkommens) verneint, weil davon auszugehen ist, dass der Kläger aus freien Stücken ohne objektiven Grund und damit rechtsmissbräuchlich bzw. mit Schädi- gungsabsicht seinen Nebenerwerb gekündigt hat. Dieser ist ihm weiterhin hypo- thetisch anzurechnen. Hinzu tritt, dass auch auf Seiten des Bedarfs des Klägers kein Abänderungsgrund ersichtlich ist. Was den geltend gemachten Mietzins für die per 1. Juni 2018 neu angemietete Wohnung des Klägers in der Höhe von Fr. 1'550.– anbelangt (vgl. Urk. 1 S. 7, 9; Urk. 4/15), ist darauf hinzuweisen, dass dem Kläger im Eheschutz- verfahren (angesichts der knappen finanziellen Verhältnisse zu Recht) ein hypo- thetischer Mietzins von lediglich Fr. 1'200.– zugestanden wurde (vgl. Urk. 6/6/19; Urk. 2 S. 10). Wenn er nunmehr eigenmächtig eine teurere Wohnung anmietete, kann dies nicht zulasten der Kindesunterhaltsbeiträge für die Tochter geschehen. Im Eheschutzverfahren wurden dem Kläger sodann unter dem Titel Berufsausla- gen für den öffentlichen Verkehr Fr. 80.– und für das Auto Fr. 100.– monatlich zu- gestanden (Urk. 6/6/19; Prot. I S. 20). Der Kläger legt weder mit seiner Berufung näher dar, weshalb ihm unter dem Titel Mobilität der Maximalbetrag gemäss Kreisschreiben der Verwaltungskommission des Obergerichts betreffend die Richtlinien für die Berechnung des betreibungsrechtlichen Existenzminimums vom 16. September 2009 von Fr. 600.– monatlich (vgl. Ziffer III.3.3e Kreisschreiben) in Anrechnung gebracht werden sollte noch weist er nach, wo er solches bereits vor Vorinstanz dargetan haben soll (Urk. 1 S. 7 f.; vgl. dazu: OGer ZH LB170042 vom</w:t>
      </w:r>
    </w:p>
    <w:p>
      <w:r>
        <w:rPr>
          <w:b/>
        </w:rPr>
        <w:t>E. 9</w:t>
      </w:r>
    </w:p>
    <w:p>
      <w:r>
        <w:t>Mai 2018, S. 6 lit b). Ein Abänderungsgrund liegt mithin auch diesbezüglich nicht vor (vgl. auch Urk. 6/1 S. 7; Urk. 6/18 S. 7; Prot. I S. 6, 9). Vor Vorinstanz deponierte er im Übrigen, er fahre mit dem Auto zur Arbeit, nehme aber auch manchmal den Bus. Das Auto benutze er, wenn er nachts arbeiten müsse oder wenn er erschöpft sei (Prot. I S. 20).</w:t>
      </w:r>
    </w:p>
    <w:p>
      <w:r>
        <w:t>- 10 - Im Licht all dieser Erwägungen ist die Berufung demnach vollumfänglich abzuwei- sen und die angefochtene Verfügung zu bestätigen. D. Kosten- und Entschädigungsfolgen 1. Die Vorinstanz behielt die Kosten- und Entschädigungsregelung dem En- dentscheid vor (Urk. 2 S. 11; Art. 104 Abs. 1 und 3 ZPO). 2. Ausgangsgemäss sind die Kosten des Berufungsverfahrens dem unterlie- genden Kläger aufzuerlegen (Art. 106 Abs. 1 ZPO). Mangels Aufwendungen ist der Beklagten für das Berufungsverfahren keine Parteientschädigung zuzuspre- chen. E. Unentgeltliche Rechtspflege Der anwaltlich vertretene Kläger lässt im Berufungsverfahren um Gewährung der unentgeltlichen Prozessführung und Rechtsvertretung nachsuchen (Urk. 1 S. 2, Antragziffer 2, S. 9 f.). Allerdings ersucht er weder um Zusprechung eines Pro- zesskostenbeitrages noch legt er dar, warum er dies nicht tut (dies im Unterschied zu seinem entsprechenden Antrag vor Vorinstanz, vgl. Urk. 6/1 S. 3, Antragzif- fer 10). Bereits aus diesem Grund ist aufgrund der Subsidiarität der unentgeltli- chen Rechtspflege auf sein Armenrechtsgesuch ohne weiteres nicht einzutreten (vgl. BGE 138 III 672 E. 4.2.1; BGer 5A_556/2014 vom 4. März 2015, E. 3.2 ). Zudem erwies sich die klägerische Berufung von Anfang an als aussichtslos (Art. 117 lit. b ZPO). Dementsprechend ist das klägerische Armenrechtsgesuch abzu- weisen, soweit darauf einzutreten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