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LY170053 vom 12. Dezember 2017</w:t>
      </w:r>
    </w:p>
    <w:p>
      <w:r>
        <w:t>ZH Obergericht, 2017-12-12, DE</w:t>
      </w:r>
    </w:p>
    <w:p>
      <w:r>
        <w:rPr>
          <w:b/>
        </w:rPr>
        <w:t xml:space="preserve">Quelle: </w:t>
      </w:r>
      <w:r>
        <w:t>https://mcp.opencaselaw.ch/entscheid/zh_obergericht_LY170053</w:t>
      </w:r>
    </w:p>
    <w:p>
      <w:r>
        <w:t>FR: ZH_OBERGERICHT LY170053 du 12 décembre 2017</w:t>
      </w:r>
    </w:p>
    <w:p>
      <w:r>
        <w:t>IT: ZH_OBERGERICHT LY170053 del 12 dicembre 2017</w:t>
      </w:r>
    </w:p>
    <w:p>
      <w:pPr>
        <w:pStyle w:val="Heading2"/>
      </w:pPr>
      <w:r>
        <w:t>Erwägungen</w:t>
      </w:r>
    </w:p>
    <w:p>
      <w:r>
        <w:rPr>
          <w:b/>
        </w:rPr>
        <w:t>E. 5</w:t>
      </w:r>
    </w:p>
    <w:p>
      <w:r>
        <w:t>Insgesamt erweist sich demnach die Berufung des Klägers hinsichtlich Dis- positivziffer 4 des vorinstanzlichen Urteils als offensichtlich unbegründet, weshalb</w:t>
      </w:r>
    </w:p>
    <w:p>
      <w:r>
        <w:t>- 10 - sie abzuweisen ist. Ebenfalls abzuweisen ist gestützt auf die vorstehenden Erwä- gungen der klägerische Antrag auf Sistierung des Verfahrens.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vermögensrechtliche Angelegenheit. Der Streitwert übersteigt Fr. 30'000.–. Die Beschwerde an das Bundesgericht hat keine auf- schiebende Wirkung. Hinsichtlich des Fristenlaufs gelten die Art. 44 ff. BGG.</w:t>
      </w:r>
    </w:p>
    <w:p>
      <w:r>
        <w:t>- 12 - Zürich, 12. Dezember 2017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