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LY160041 vom 28. März 2017</w:t>
      </w:r>
    </w:p>
    <w:p>
      <w:r>
        <w:t>ZH Obergericht, 2017-03-28, DE</w:t>
      </w:r>
    </w:p>
    <w:p>
      <w:r>
        <w:rPr>
          <w:b/>
        </w:rPr>
        <w:t xml:space="preserve">Quelle: </w:t>
      </w:r>
      <w:r>
        <w:t>https://mcp.opencaselaw.ch/entscheid/zh_obergericht_LY160041</w:t>
      </w:r>
    </w:p>
    <w:p>
      <w:r>
        <w:t>FR: ZH_OBERGERICHT LY160041 du 28 mars 2017</w:t>
      </w:r>
    </w:p>
    <w:p>
      <w:r>
        <w:t>IT: ZH_OBERGERICHT LY160041 del 28 marzo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August 2015 zu verpflichten, der Gesuchsgegnerin an den Unterhalt des gemeinsamen Sohns C._____, geb. tt.mm.2007, monatlich und monatlich im Voraus einen Unterhaltsbei- trag von CHF 715.00 zuzüglich allfälliger Kinderzulagen zu bezahlen. Von der Pflicht zur Zahlung eines persönlichen Unterhaltsbeitrags an die Gesuchsgegnerin sei der Gesuch- steller ab 1. August 2015 zu befreien.</w:t>
      </w:r>
    </w:p>
    <w:p>
      <w:r>
        <w:rPr>
          <w:b/>
        </w:rPr>
        <w:t>E. 2</w:t>
      </w:r>
    </w:p>
    <w:p>
      <w:r>
        <w:t>Mit Verfügung vom 14. Oktober 2016 entschied die Vorinstanz über das Massnahmenbegehren wie folgt (Urk. 2 S. 25 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