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LY160026 vom 17. Oktober 2016</w:t>
      </w:r>
    </w:p>
    <w:p>
      <w:r>
        <w:t>ZH Obergericht, 2016-10-17, DE</w:t>
      </w:r>
    </w:p>
    <w:p>
      <w:r>
        <w:rPr>
          <w:b/>
        </w:rPr>
        <w:t xml:space="preserve">Quelle: </w:t>
      </w:r>
      <w:r>
        <w:t>https://mcp.opencaselaw.ch/entscheid/zh_obergericht_LY160026</w:t>
      </w:r>
    </w:p>
    <w:p>
      <w:r>
        <w:t>FR: ZH_OBERGERICHT LY160026 du 17 octobre 2016</w:t>
      </w:r>
    </w:p>
    <w:p>
      <w:r>
        <w:t>IT: ZH_OBERGERICHT LY160026 del 17 ottobre 2016</w:t>
      </w:r>
    </w:p>
    <w:p>
      <w:pPr>
        <w:pStyle w:val="Heading2"/>
      </w:pPr>
      <w:r>
        <w:t>Erwägungen</w:t>
      </w:r>
    </w:p>
    <w:p>
      <w:r>
        <w:rPr>
          <w:b/>
        </w:rPr>
        <w:t>E. 1</w:t>
      </w:r>
    </w:p>
    <w:p>
      <w:r>
        <w:t>Die Parteien befinden sich in einem von der Klägerin und Berufungsbeklag- ten (nachfolgend: Berufungsbeklagte) beim Bezirksgericht Meilen (nachfolgend: Vorinstanz) eingeleiteten Scheidungsverfahren wegen Unzumutbarkeit der Fort- führung der Ehe gemäss Art. 115 ZGB (act. 6/1, act. 5 E. I). In diesem Verfahren stellte die Berufungsbeklagte anlässlich der am 20. Januar 2016 durchgeführten Einigungsverhandlung und Verhandlung über vorsorgliche Massnahmen den ers- ten Teil des eingangs aufgeführten Rechtsbegehrens um Auskunfterteilung (act. 6</w:t>
      </w:r>
    </w:p>
    <w:p>
      <w:r>
        <w:t>- 4 - Prot. S. 10 und 15). Den zweiten Teil des Rechtsbegehrens stellte sie im Rahmen des in der Folge von der Vorinstanz hinsichtlich des Editionsbegehrens angeord- neten Schriftenwechsels (act. 6/46, vgl. auch act. 6/32, act. 6/37, act. 6/44, act. 6/47 und act. 6/51). Das Scheidungsverfahren wurde im Übrigen mit Verfü- gung vom 30. März 2016 auf den Scheidungspunkt beschränkt und diesbezüglich ein Schriftenwechsel angeordnet (act. 6/44), wobei mittlerweile sowohl Klagebe- gründung als auch Klageantwort erstattet wurden (vgl. act. 6/52 und act. 6/62).</w:t>
      </w:r>
    </w:p>
    <w:p>
      <w:r>
        <w:rPr>
          <w:b/>
        </w:rPr>
        <w:t>E. 2</w:t>
      </w:r>
    </w:p>
    <w:p>
      <w:r>
        <w:t>Mit Verfügung vom 14. Juni 2016 wies die Vorinstanz die Anträge der Beru- fungsbeklagten auf prozessrechtliche Beweisedition ab. Weiter ordnete sie mit Ur- teil vom selben Datum oben aufgeführte Editionsverpflichtung des Beklagten und Berufungsklägers (nachfolgend: Berufungskläger) an (act. 5).</w:t>
      </w:r>
    </w:p>
    <w:p>
      <w:r>
        <w:rPr>
          <w:b/>
        </w:rPr>
        <w:t>E. 3</w:t>
      </w:r>
    </w:p>
    <w:p>
      <w:r>
        <w:t>Die Berufungsbeklagte ihrerseits ist der Ansicht, dass das Rechtsschutzin- teresse gegeben sei (act. 9 Rz 4, 12, 15 f. und 27 ff.) und weder ihr Rechtsbegeh- ren noch die Anordnung der Vorinstanz zu unbestimmt seien (act. 9 Rz 5 und 7). Weiter macht sie geltend, das Auskunftsbegehren habe sich auf die gesamten ehelichen Finanzen bezogen, was zulässig sei (act. 9 Rz 8 und 17). Sie habe auch einen Anspruch darauf, dass die im Urteil aufgeführten Belege zu den Ge- schäftsfinanzen herausgegeben würden (act. 9 Rz 9, 11 und 29). Ferner treffe es nicht zu, dass sie bereits über alle relevanten Unterlagen verfüge (act. 9 Rz 24 f.).</w:t>
      </w:r>
    </w:p>
    <w:p>
      <w:r>
        <w:rPr>
          <w:b/>
        </w:rPr>
        <w:t>E. 4</w:t>
      </w:r>
    </w:p>
    <w:p>
      <w:r>
        <w:t>Die Berufungsbeklagte wird verpflichtet, dem Berufungskläger für das zweit- instanzliche Verfahren eine reduzierte Parteientschädigung von Fr. 1'670.– zu bezahlen.</w:t>
      </w:r>
    </w:p>
    <w:p>
      <w:r>
        <w:rPr>
          <w:b/>
        </w:rPr>
        <w:t>E. 5</w:t>
      </w:r>
    </w:p>
    <w:p>
      <w:r>
        <w:t>Schriftliche Mitteilung an die Parteien, an die Berufungsbeklagte unter Beila- ge der Doppel von act. 16 und act. 17/13-23, sowie an das Bezirksgericht Meilen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w:t>
      </w:r>
    </w:p>
    <w:p>
      <w:r>
        <w:t>- 17 - Obergericht des Kantons Zürich II. Zivilkammer Die Gerichtsschreiberin: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