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LY150037 vom 14. August 2015</w:t>
      </w:r>
    </w:p>
    <w:p>
      <w:r>
        <w:t>ZH Obergericht, 2015-08-14, DE</w:t>
      </w:r>
    </w:p>
    <w:p>
      <w:r>
        <w:rPr>
          <w:b/>
        </w:rPr>
        <w:t xml:space="preserve">Quelle: </w:t>
      </w:r>
      <w:r>
        <w:t>https://mcp.opencaselaw.ch/entscheid/zh_obergericht_LY150037</w:t>
      </w:r>
    </w:p>
    <w:p>
      <w:r>
        <w:t>FR: ZH_OBERGERICHT LY150037 du 14 août 2015</w:t>
      </w:r>
    </w:p>
    <w:p>
      <w:r>
        <w:t>IT: ZH_OBERGERICHT LY150037 del 14 agosto 2015</w:t>
      </w:r>
    </w:p>
    <w:p>
      <w:pPr>
        <w:pStyle w:val="Heading2"/>
      </w:pPr>
      <w:r>
        <w:t>Erwägungen</w:t>
      </w:r>
    </w:p>
    <w:p>
      <w:r>
        <w:rPr>
          <w:b/>
        </w:rPr>
        <w:t>E. 1</w:t>
      </w:r>
    </w:p>
    <w:p>
      <w:r>
        <w:t>Die Parteien sind verheiratet und die Eltern des Sohnes C._____, gebo- ren am tt.mm.2000, der als Verfahrensbeteiligter im Rubrum figuriert. Seit dem 14. Juni 2010 befinden sich die Parteien vor der Vorderrichterin in einem Schei- dungsverfahren. Auch die erkennende Kammer war bereits verschiedentlich mit dem Verfahren befasst (Geschäfts-Nr. PC130042-O und LY120003-O; vgl. auch LP120001-O und LP080044-O betreffend Eheschutz sowie RV110015-O betref- fend Vollstreckung).</w:t>
      </w:r>
    </w:p>
    <w:p>
      <w:r>
        <w:rPr>
          <w:b/>
        </w:rPr>
        <w:t>E. 2</w:t>
      </w:r>
    </w:p>
    <w:p>
      <w:r>
        <w:t>Eventuell, für den Fall der Abweisung von Antrag Ziff. 1: Es sei der Kläger alleine gerichtlich zu ermächtigen (Art. 166 Abs. 2 Ziff. 1 ZGB), C._____ verbindlich, auch mit Wirkung für die Beklagte, zum Eintritt in das Internat und Kurzzeitgymnasium D._____ am 24. August 2015 anzumelden.</w:t>
      </w:r>
    </w:p>
    <w:p>
      <w:r>
        <w:rPr>
          <w:b/>
        </w:rPr>
        <w:t>E. 3</w:t>
      </w:r>
    </w:p>
    <w:p>
      <w:r>
        <w:t>Subeventuell, für den Fall der Abweisung sowohl von Antrag Ziff. 1 als auch von Antrag Ziff. 2: Es seien durch das Gericht diejenigen geeigneten Kindesschutz- massnahmen im Sinne von Art. 307 ff. ZGB für C._____ anzuordnen, mit denen sichergestellt wird, dass C._____ am 24. August 2015 effektiv in das Internat und Kurzzeitgymnasium D._____ eintreten kann.</w:t>
      </w:r>
    </w:p>
    <w:p>
      <w:r>
        <w:t>- 3 -</w:t>
      </w:r>
    </w:p>
    <w:p>
      <w:r>
        <w:rPr>
          <w:b/>
        </w:rPr>
        <w:t>E. 4</w:t>
      </w:r>
    </w:p>
    <w:p>
      <w:r>
        <w:t>a) Wie bereits erwähnt, unterstützen grundsätzlich beide Parteien den Wunsch C._____s, eine Mittelschule zu besuchen. Unbestritten ist auch, dass sich C._____ im nächsten Frühling dem Aufnahmeverfahren für ein öffentliches zürcherisches Kurzzeitgymnasium erneut stellen kann. Die Beklagte zieht für C._____ zudem "im Sinne eines Plans B" den Besuch der Handels- oder Informa- tikmittelschule in Betracht, für welche geringere Prüfungsanforderungen gelten. b) Der Kläger meint hingegen, dass sich für C._____ nun die "einmalige Chance" biete, prüfungsfrei ins Gymnasium D._____ einzutreten. Der Besuch der 3. Sekundarschule würde seiner Ansicht nach die Aussichten C._____s, künftig eine Mittelschule zu besuchen, weiter schmälern. Bekanntlich – so der Kläger – sei die Durchfallquote für Schüler, welche die Aufnahmeprüfung bereits einmal er- folglos absolviert hätten und sich in der 3. Sekundarschule befänden, massiv hö- her als bei Schülern, die sich in der 2. Sekundarschule befänden. Dies liege u.a. auch daran, dass in der 3. Sekundarklasse gar nicht mehr der Stoff vermittelt werde, der für die Aufnahmeprüfung vorausgesetzt werde (VI Urk. 360 S. 4). c) Ersteres dürfte zwar zutreffen. Der Grund dafür ist aber viel eher darin zu sehen, dass es sich bei Repetenten tendenziell um die schwächeren Schüler handeln dürfte. Abgesehen davon dürfte ein weiteres Jahr Vorbereitung die Chancen C._____s, die Aufnahmeprüfung für das Gymnasium zu bestehen, kaum schmälern, zumal beide Parteien davon ausgehen, dass C._____ grundsätzlich über die Voraussetzungen für den Besuch einer Mittelschule verfügt.</w:t>
      </w:r>
    </w:p>
    <w:p>
      <w:r>
        <w:t>- 8 - d) Hinzu kommt, was auch der Kläger anerkennt, dass C._____ auch nach einem prüfungsfreien Eintritt ins Gymnasium D._____ eine Probezeit bestehen, laufend Prüfungen ablegen und letztlich die Matura bestehen müsste. Daran führt kein Weg vorbei. e) Es bleibt in diesem Zusammenhang darauf hinzuweisen, dass der Besuch des Gymnasiums nicht in jedem Fall die beste Bildungsmöglichkeit darstellt, ins- besondere dann nicht, wenn ein Kind nicht über die entsprechenden Anlagen ver- fügt. Die Aufnahmeprüfungen stellen insofern durchaus ein taugliches Selekti- onsmittel dar. Vor diesem Hintergrund scheint es zumindest nicht a priori sinnvoll, einem Kind, welches die Aufnahmeprüfung für das öffentliche Gymnasium nicht bestanden hat, den prüfungsfreien Eintritt in ein privates Gymnasium zu ermögli- chen. Vielmehr sollten weitere Gründe dafür sprechen bzw. besondere Umstände vorliegen. Der Kläger sieht solche darin, dass C._____ unter dem Scheidungs- kampf seiner Eltern leide und wenigstens jetzt eine bessere Startchance infolge eines prüfungsfreien Eintritts in das Internat und Gymnasium D._____ erhalten solle (Urk. 14B S. 12). Darauf wird noch zurückzukommen sein. f) Weiter argumentiert der Kläger, dass C._____ mit dem Besuch der 3. Klasse der Sekundarstufe ein Jahr "verlieren" würde (VI Urk. 360 S. 4). Dies lässt sich zwar nicht wegdiskutieren, fällt aber in Bezug auf die gesamte Ausbildungs- dauer C._____s nicht merklich ins Gewicht. Im Übrigen hat die Beklagte nicht Un- recht, wenn sie anmerkt, dass der leichteste Weg nicht immer der beste sei (Urk.</w:t>
      </w:r>
    </w:p>
    <w:p>
      <w:r>
        <w:rPr>
          <w:b/>
        </w:rPr>
        <w:t>E. 9</w:t>
      </w:r>
    </w:p>
    <w:p>
      <w:r>
        <w:t>a) Zusammenfassend lässt sich festhalten, dass der Besuch der 3. Klasse der Sekundarstufe die Chancen C._____s auf eine angemessene, seinen Fähig- keiten und Neigungen entsprechende, höhere Bildung nicht schmälert. Dass C._____ dadurch ein Jahr "verlieren" würde, fällt nicht merklich ins Gewicht. Der Wille C._____s liess sich nicht eruieren. Dem Umfeld der "Kampfscheidung" sei-</w:t>
      </w:r>
    </w:p>
    <w:p>
      <w:r>
        <w:t>- 12 - ner Eltern bliebe C._____ auch bei einem Internatsbesuch regelmässig (vor allem an den Wochenenden) weiterhin ausgeliefert. Der diesbezügliche Appell an die Parteien, das Kindeswohl zu wahren, gilt nach wie vor. Für den Verbleib C._____ in der Sekundarschule spricht das Kriterium der Stabilität und Kontinuität der Ver- hältnisse, insbesondere was das ausserschulische Umfeld anbelangt. Offen bleibt die finanzielle Tragbarkeit der Internatskosten. b) Im Ergebnis spricht mehr für einen Verbleib in der öffentlichen Sekundar- schule als für einen Wechsel ins private Internatsgymnasium D._____. Die Vor- derrichterin hat richtig entschieden. Das Massnahmegesuch des Klägers ist ab- zuweisen. c) Bei diesem Verfahrensausgang erübrigt sich ein Entscheid über den Eventualantrag der Beklagten, wonach im Falle des Internatseintritts von C._____ alle Nebenfolgen des Getrenntlebens sowie einer allfälligen Scheidung so zu be- lassen seien, wie sie heute sind (vgl. Prot. S. 22). III. 1. Die Gerichtsgebühr für das Berufungsverfahren ist in Anwendung von § 12 Abs. 1 und 2 in Verbindung mit §§ 5 Abs. 1, 6 Abs. 1 und 8 Abs. 1 GebV OG auf Fr. 5'500.– festzulegen. Die Kosten der Kindesvertretung zählen zu den Ge- richtskosten (Art. 95 Abs. 2 lit. e ZPO). Diese sind im Urteilsdispositiv festzuset- zen (Kriech, DIKE-Komm., Art. 238 ZPO N 8). Sie betragen Fr. 2'640.– (vgl. Urk. 20; aufgrund der Verhandlungsdauer sind zwei zusätzliche Stunden zu ent- schädigen). 2. In familienrechtlichen Verfahren kann das Gericht die Prozesskosten nach Ermessen verteilen (Art. 107 Abs. 1 lit. c ZPO). Gemäss ständiger Praxis des Obergerichts sind die Kosten des Verfahrens mit Bezug auf Kinderbelange – un- abhängig vom Ausgang – den Parteien je zur Hälfte aufzuerlegen und die Partei- entschädigungen wettzuschlagen, wenn die Parteien unter dem Gesichtspunkt des Kindesinteresses gute Gründe zur Antragstellung hatten (OGer ZH LE110067 vom 13. April 2012 E. II/8; ZR 84 Nr. 41). Dies war vorliegend der Fall. Es recht-</w:t>
      </w:r>
    </w:p>
    <w:p>
      <w:r>
        <w:t>- 13 - fertigt sich daher eine hälftige Kostenaufteilung und ein Wettschlagen der Partei- entschädigungen.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