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LY140047 vom 27. April 2015</w:t>
      </w:r>
    </w:p>
    <w:p>
      <w:r>
        <w:t>ZH Obergericht, 2015-04-27, DE</w:t>
      </w:r>
    </w:p>
    <w:p>
      <w:r>
        <w:rPr>
          <w:b/>
        </w:rPr>
        <w:t xml:space="preserve">Quelle: </w:t>
      </w:r>
      <w:r>
        <w:t>https://mcp.opencaselaw.ch/entscheid/zh_obergericht_LY140047</w:t>
      </w:r>
    </w:p>
    <w:p>
      <w:r>
        <w:t>FR: ZH_OBERGERICHT LY140047 du 27 avril 2015</w:t>
      </w:r>
    </w:p>
    <w:p>
      <w:r>
        <w:t>IT: ZH_OBERGERICHT LY140047 del 27 aprile 2015</w:t>
      </w:r>
    </w:p>
    <w:p>
      <w:pPr>
        <w:pStyle w:val="Heading2"/>
      </w:pPr>
      <w:r>
        <w:t>Erwägungen</w:t>
      </w:r>
    </w:p>
    <w:p>
      <w:r>
        <w:rPr>
          <w:b/>
        </w:rPr>
        <w:t>E. 1</w:t>
      </w:r>
    </w:p>
    <w:p>
      <w:r>
        <w:t>Die Parteien sind seit dem tt. Mai 2004 verheiratet und haben drei gemein- same Kinder (E._____, geb. am tt.mm.2004, F._____, geb. am tt.mm.2008 und G._____, geb. am tt.mm.2010; vgl. act. 3). Am 18. Februar 2014 reichte die Ge- suchstellerin und Berufungsbeklagte (nachfolgend Berufungsbeklagte) beim Be- zirksgericht Bülach (Vorinstanz) ein gemeinsames Scheidungsbegehren der Par- teien gemäss Art. 112 ZGB ein (act. 6/4). Gleichzeitig stellte sie die eingangs wie-</w:t>
      </w:r>
    </w:p>
    <w:p>
      <w:r>
        <w:t>- 7 - dergegebenen Begehren um Erlass vorsorglicher Massnahmen (act. 6/1). Am</w:t>
      </w:r>
    </w:p>
    <w:p>
      <w:r>
        <w:rPr>
          <w:b/>
        </w:rPr>
        <w:t>E. 1.1</w:t>
      </w:r>
    </w:p>
    <w:p>
      <w:r>
        <w:t>Beide Parteien stellten im Berufungsverfahren einen Antrag auf unentgeltli- che Rechtspflege und Bestellung einer unentgeltlichen Rechtsbeiständin in der Person ihrer jeweiligen Rechtsvertreterin (act. 2 S. 3; act. 16 S. 2). Dem Beru- fungskläger wurde mit Beschluss vom 11. Dezember 2014 die unentgeltliche Rechtspflege sowie die unentgeltliche Rechtsvertretung bewilligt (act. 10). Zu prü- fen bleibt das Gesuch der Berufungsbeklagten.</w:t>
      </w:r>
    </w:p>
    <w:p>
      <w:r>
        <w:rPr>
          <w:b/>
        </w:rPr>
        <w:t>E. 1.2</w:t>
      </w:r>
    </w:p>
    <w:p>
      <w:r>
        <w:t>Eine Partei hat Anspruch auf unentgeltliche Rechtspflege, wenn sie nicht über die erforderlichen Mittel verfügt und ihr Rechtsbegehren nicht aussichtslos erscheint. Unter den gleichen Voraussetzungen besteht ein Anspruch auf unent- geltliche Rechtsverbeiständung, wenn dies zur Wahrung der Rechte der Partei notwendig erscheint (Art. 117, 118 Abs. 1 ZPO).</w:t>
      </w:r>
    </w:p>
    <w:p>
      <w:r>
        <w:rPr>
          <w:b/>
        </w:rPr>
        <w:t>E. 1.3</w:t>
      </w:r>
    </w:p>
    <w:p>
      <w:r>
        <w:t>Wie die vorstehenden Ausführungen zeigen, ist die Berufungsbeklagte zur Zeit nicht in der Lage, neben den Kosten für ihren Lebensunterhalt auch für die Gerichts- und Anwaltskosten des vorliegenden Verfahrens aufzukommen. Ihr Standpunkt im Berufungsverfahren erweist sich sodann nicht als aussichtslos im Sinne des Gesetzes. Damit sind die Voraussetzungen zur Gewährung der unent- geltlichen Rechtspflege erfüllt. Die Berufungsklägerin verfügt im Weiteren über keine Rechtskenntnisse und ist – zumal auch die Gegenpartei anwaltlich vertreten ist – zur Wahrung ihrer Rechte auf einen Rechtsbeistand angewiesen. Damit ist ihr Gesuch um unentgeltliche Rechtspflege und Bestellung einer unentgeltlichen Rechtsbeiständin in der Person ihrer Rechtsvertreterin gutzuheissen.</w:t>
      </w:r>
    </w:p>
    <w:p>
      <w:r>
        <w:t>- 28 - 2. Kosten- und Entschädigungsfolgen 2.1. Über die Kosten- und Entschädigungsfolgen des Berufungsverfahrens ist nicht erst mit dem erstinstanzlichen Endentscheid in der Hauptsache (vgl. Art. 104 Abs. 1 ZPO), sondern bereits an dieser Stelle zu befinden. 2.2. Die Höhe der Entscheidgebühr richtet sich für das Berufungsverfahren nach § 12 Abs. 1 und 2 i.V.m. § 6 Abs. 1, § 5 Abs. 1 und 2 sowie § 8 Abs. 1 der Gebüh- renverordnung des Obergerichts vom 8. September 2010 (GebV OG). Zwar liegt wie erwähnt im Grundsatz keine rein vermögensrechtliche Streitigkeit vor. Im Vor- dergrund des Berufungsverfahrens standen jedoch die Festsetzung der Unter- haltsbeiträge und die Frage der Anrechnung bereits geleisteter Zahlungen, wes- halb es sich rechtfertigt, für die Bemessung der Gerichtskosten auf diese vermö- gensrechtlichen Rechtsbegehren abzustellen (§ 6 Abs. 1 i.V.m. § 5 Abs. 1 und 2 GebVO). Geht man davon aus, dass die getroffene Regelung der Unterhaltsbei- träge vom 1. November 2014 an für rund zwei Jahre Geltung beanspruchen wird, sprach die Vorinstanz der Berufungsbeklagten Unterhaltsleistungen von gesamt- haft Fr. 137'910.– zu (1.5 Monate x Fr. 4'400.– + 8.5 Monate x Fr. 3'900.– + 24 Monate X Fr. 4'090.–). Der Berufungskläger beantragt die Herabsetzung der Zah- lungen auf insgesamt Fr. 129'780.– (1.5 x Fr. 4'270.– + 8.5 x Fr. 3'870.– + 24 x Fr. 3'770.–) und verlangt damit im Ergebnis eine Reduktion um Fr. 8'130.–. Aus- serdem verlangt der Berufungsklägers die Anrechnung bereits geleisteter Zahlun- gen in der Höhe von Fr. 41'034.55, was einer Differenz von Fr. 12'455.45 gegen- über dem von der Vorinstanz festgestellten Betrag entspricht. Der Streitwert der vermögensrechtlichen Rechtsbegehren beläuft sich damit auf Fr. 20'585.45. Aus- gehend davon erscheint in Anwendung von § 12 Abs. 1 und 2 in Verbindung mit §§ 2, 4 Abs. 1 bis 3 und 8 Abs. 1 GebV OG eine Entscheidgebühr von Fr. 1'500.– als angemessen. 2.3. Die Kosten werden in der Regel nach Obsiegen und Unterliegen verteilt (Art. 106 ZPO), wobei in familienrechtlichen Fällen davon abgewichen werden kann (Art. 107 Abs. 1 lit. c ZPO). Mit Bezug auf die Kinderbelange sind die Kosten des Verfahrens nach der Praxis der Kammer – unabhängig vom Ausgang – den Parteien grundsätzlich je zur Hälfte aufzuerlegen und die Prozessentschädigun-</w:t>
      </w:r>
    </w:p>
    <w:p>
      <w:r>
        <w:t>- 29 - gen wettzuschlagen, wenn die Parteien unter dem Gesichtspunkt der Interessen des Kindes gute Gründe zur Antragstellung hatten. Diese Rechtsprechung be- schlägt allerdings nur die Elternrechte sowie allfällige Kindesschutzmassnahmen, nicht jedoch die Kinderunterhaltsbeiträge (ZR 84/1985 Nr. 41). In Anwendung der genannten Rechtsprechung und da kein eindeutiger Hinweis darauf vorliegt, dass eine der Parteien nicht im Kindesinteresse gehandelt hat, sind die Kosten hin- sichtlich der Frage der Absprache des Ferienbesuchsrechts den Parteien je hälftig aufzuerlegen. Für die strittigen Unterhaltsbeiträge sowie die Feststellung des Umfangs der be- reits geleisteten Zahlungen ist auf das Obsiegen bzw. Unterliegen der Parteien abzustellen (Art. 106 Abs. 2 ZPO). Der Berufungskläger beantragt wie erwähnt eine Reduktion der von der Vorinstanz festgesetzten Unterhaltsbeiträge um Fr. 8'130.–. Zugesprochen werden der Berufungsklägerin nunmehr Fr. 130'950.– (1.5 x Fr. 4'400.– + 8.5 x Fr. 3'900.– + 24 x Fr. 3'800.–), was einer Reduktion von Fr. 6'960.– entspricht. Der Berufungskläger obsiegt damit in Bezug auf die Höhe der geschuldeten Unterhaltsbeiträge zu rund 85 %. Er unterliegt indes mit seinem Antrag, die Kinder- und Ehegattenunterhaltsbeiträge seien abweichend aufzutei- len und der Anteil am 13. Monatslohn sei erst nach dessen Erhalt an die Beru- fungsklägerin auszuzahlen. Insgesamt obsiegt der Berufungskläger in der Unter- haltsfrage somit zu rund 75 %. Der Antrag des Berufungsklägers auf Feststellung der bereits geleisteten Zahlungen wurde von der Berufungsbeklagten umfang- mässig beinahe vollumfänglich anerkannt, weshalb die Berufungsbeklagte in die- sem Punkt fast vollständig unterliegt (Art. 106 Abs. 1 ZPO). Die Unterhaltsfrage ist ungefähr mit zwei Vierteln und die Frage der Absprache des Ferienbesuchsrechts sowie die Feststellung der bereits geleisteten Zahlun- gen je mit ungefähr einem Viertel zu gewichten. Insgesamt obsiegt der Beru- fungskläger damit zu rund drei Viertel. Folglich sind die Kosten des Berufungsver- fahrens zu 1/4 dem Berufungskläger und zu 3/4 der Berufungsbeklagten aufzuer- legen, jedoch zufolge Gewährung der unentgeltlichen Prozessführung einstweilen auf die Staatskasse zu nehmen. Die Nachzahlungspflicht gemäss Art. 123 ZPO bleibt vorbehalten.</w:t>
      </w:r>
    </w:p>
    <w:p>
      <w:r>
        <w:t>- 30 - 2.4. Beide Parteien beantragen sodann eine Parteientschädigung. Die Parteient- schädigung für das Berufungsverfahren ist in Anwendung von § 13 in Verbindung mit den § 6 Abs. 1, § 5 Abs. 1 und 2, § 4 Abs. 1-3 sowie § 9 AnwGebV festzuset- zen. Ausgehend vom Streitwert der vermögensrechtlichen Rechtsbegehren (vgl. E. IV./2.2.) ist die nach § 4 Abs. 3 AnwGebV ermässigte Grundgebühr auf rund Fr. 2'600.– festzusetzen. Diese ist in Anwendung von § 9 AnwGebV um die Hälf- te, mithin auf Fr. 1'300.–, zu kürzen. Für die Stellungnahme des Berufungsklägers vom 2. März 2015 ist nur ein geringer Zuschlag zuzusprechen, da diese nicht als unerlässlich bezeichnet werden kann und weitgehend vorliegend nicht relevante Ausführungen enthält, jedoch im Rahmen der Wahrung des rechtlichen Gehörs erfolgte. Der Zuschlag ist auf Fr. 200.– festzusetzen. Für das Wiedererwägungs- gesuch des Berufungsklägers vom 9. Dezember 2014 rechtfertigt sich hingegen kein Zuschlag. Auf eine weitere Kürzung gestützt auf § 13 Abs. 2 GebV ist auf- grund der relativ starken Inanspruchnahme des Novenrechts zu verzichten. Bei vollständigem Obsiegen des Berufungsklägers resultierte demnach eine Partei- entschädigung von Fr. 1'500.– bzw. bei vollständigem Obsiegen der Berufungs- beklagten eine solche von Fr. 1'300.–. In Berücksichtigung des teilweisen Obsie- gens bzw. Unterliegens der Parteien wäre dem Berufungskläger eine Parteient- schädigung von Fr. 1'125.– zuzusprechen und der Berufungsbeklagten eine sol- che von Fr. 325.–. Aufgrund der Möglichkeit der gegenseitigen Verrechnung ist die Berufungsbeklagte zu verpflichten, dem Berufungskläger für das Berufungs- verfahren eine Parteientschädigung von Fr. 800.– zu bezahlen. Einen Mehrwert- steuerersatz hat der Berufungskläger nicht verlangt, weshalb ein solcher nicht zu- zusprechen ist. Es wird beschlossen</w:t>
      </w:r>
    </w:p>
    <w:p>
      <w:r>
        <w:rPr>
          <w:b/>
        </w:rPr>
        <w:t>E. 5</w:t>
      </w:r>
    </w:p>
    <w:p>
      <w:r>
        <w:t>Mai 2014 führte die Vorinstanz eine Verhandlung zu den vorsorglichen Mass- nahmen und eine Anhörung sowie am 9. Juli 2014 eine Instruktionsverhandlung durch (Prot. Vi S. 7 und S. 25). Nachdem zwischen den Parteien keine Einigung erzielt werden konnte, entschied die Vorinstanz die Begehren der Parteien um vorsorgliche Massnahmen mit Verfügung vom 16. Oktober 2014 gemäss dem ein- leitend erwähnten Dispositiv (act. 3/1). 2. Gegen diesen Entscheid erhob der Gesuchsteller und Berufungskläger (nachfolgend Berufungskläger) mit Eingabe vom 10. November 2014 (Datum Poststempel) rechtzeitig Berufung mit den eingangs wiedergegebenen Anträgen (act. 2). Mit Beschluss vom 13. November 2014 wurden die Anträge des Beru- fungsklägers auf Erteilung der aufschiebenden Wirkung abgewiesen, soweit da- rauf eingetreten wurde. Ausserdem wurde die Prozessleitung delegiert (act. 4). Mit Eingabe vom 9. Dezember 2014 stellte der Berufungskläger ein Gesuch um Wiedererwägung dieses Entscheids (act. 9). Dieses wurde mit Beschluss vom 11. Dezember 2014 abgewiesen. Gleichzeitig wurde dem Berufungskläger die unentgeltliche Rechtspflege bewilligt und in der Person seiner Rechtsvertreterin eine unentgeltliche Rechtsbeiständin bestellt (act. 10). Mit Verfügung vom 19. Januar 2015 wurde der Berufungsbeklagten Frist angesetzt, um die Berufung zu beantworten (act. 14). Am 26. Januar 2015 erstattete die Berufungsbeklagte ihre Berufungsantwort (act. 16). Diese wurde dem Berufungskläger am 27. Januar 2015 zur Kenntnisnahme zugestellt (act. 17). Mit Eingabe vom 30. Januar 2015 ersuchte die Rechtsvertreterin des Berufungsklägers – unter Hinweis auf ihre Fe- rienabwesenheit bis 16. Februar 2015 sowie darauf, dass die Berufungsantwort neue Vorbringen enthalte – um Ansetzung einer Frist zur Erstattung einer Beru- fungsreplik (act. 19). Für das Berufungsverfahren sieht das Gesetz den Grundsatz des einfachen Schriftenwechsels vor, der sich auf die Berufungsbegründung und die Berufungs- antwort beschränkt (vgl. Art. 311-313 ZPO). Wenn es die Verhältnisse des kon- kreten Einzelfalles erfordern, kann das Gericht eine Verhandlung oder einen zwei- ten Schriftenwechsel anordnen (Art. 316 Abs. 2 ZPO). Im Interesse der Vereinfa-</w:t>
      </w:r>
    </w:p>
    <w:p>
      <w:r>
        <w:t>- 8 - chung und der Verfahrensbeschleunigung ist ein zweiter Schriftenwechsel nur zu- rückhaltend anzuordnen. Die Notwendigkeit eines solchen kann sich namentlich dann ergeben, wenn im ersten Schriftenwechsel zulässigerweise Noven vorge- bracht werden (Benedikt Seiler, Die Berufung nach ZPO, N 1141). Dass die Vor- bringen in der Berufungsantwort wesentliche und zulässige Noven umfassten (und welche), behauptete der Berufungskläger (richtigerweise) nicht. Das Gericht teilte ihm am 17. Februar 2015 daher mit, der gesetzlich vorgesehene Schriften- wechsel sei mit Erstattung der Berufungsantwort abgeschlossen, die Anordnung eines weiteren Schriftenwechsels erscheine aus Sicht des Gerichts nicht geboten, weshalb die beantragte Fristansetzung entfalle. Es sei ihm jedoch unbenommen, sich innert angemessener Frist von sich aus zu der Eingabe der Gegenpartei zu äussern (act. 20). Mit Eingabe vom 2. März 2015 (Datum Poststempel) reichte der Berufungskläger eine Stellungnahme zur Berufungsantwort samt Beilagen ein (act. 23; act. 24/1-2). Darin macht der Berufungskläger weitgehend Ausführungen zu dem von der Berufungsbeklagten eingeleiteten Betreibungs- und Rechtsöff- nungsverfahren (act. 23 Rz. 1-5). Diese sind für das vorliegende Verfahren nicht relevant. Davon abgesehen bestreitet er lediglich eine Behauptung der Beru- fungsbeklagten im Zusammenhang mit dem ihr anzurechnenden Erwerbslohn (act. 23 Rz. 6). Wie noch zu zeigen sein wird, sind auch die Vorbringen des Beru- fungsklägers betreffend das Einkommen der Berufungsbeklagten für den vorlie- genden Entscheid nicht massgeblich. Unter diesen Umständen erübrigt es sich, der Berufungsbeklagten vorgängig Gelegenheit zu einer weiteren Stellungnahme einzuräumen. Das Verfahren erweist sich als spruchreif. II. 1. Gegenstand des vorliegenden Berufungsverfahrens sind die Absprachere- gelung zum Ferienbesuchsrecht des Berufungsklägers und den drei gemeinsa- men Kindern der Parteien sowie die vom Berufungskläger geschuldeten Kinder- und Ehegattenunterhaltsbeiträge und die Anrechnung bereits geleisteter Zahlun- gen an diese. Es liegt damit im Grundsatz eine nicht vermögensrechtliche Strei- tigkeit vor. Gegen den vorinstanzlichen Entscheid über vorsorgliche Massnahmen ist daher die Berufung zulässig (Art. 308 Abs. 1 lit. b ZPO). Mit der Berufung kön-</w:t>
      </w:r>
    </w:p>
    <w:p>
      <w:r>
        <w:t>- 9 - nen die unrichtige Rechtsanwendung und unrichtige Sachverhaltsfeststellung ge- rügt werden (Art. 310 ZPO). Ebenfalls gerügt werden kann die (blosse) Unange- messenheit eines Entscheides, da es sich bei der Berufung um ein vollkommenes Rechtsmittel handelt. Bei der Angemessenheitskontrolle hat sich die Rechtsmitte- linstanz allerdings eine gewisse Zurückhaltung aufzuerlegen (vgl. Blickenstorfer, DIKE-Komm-ZPO, Art. 310 N 10). Gemäss Art. 317 Abs. 1 ZPO werden neue Tatsachen und Beweismittel (Noven) im Berufungsverfahren nur noch berücksich- tigt, wenn sie ohne Verzug vorgebracht werden und trotz zumutbarer Sorgfalt nicht schon vor erster Instanz vorgebracht werden konnten. Der uneingeschränkte Untersuchungsgrundsatz (bei Kinderbelangen) führt nach der Praxis der Kammer jedoch in Abweichung von Art. 317 Abs. 1 ZPO auch im Berufungsverfahren zur unbeschränkten Zulässigkeit von Noven bis zur Urteilsberatung (OGer ZH LC130019 vom 8. Mai 2013 Erw. 3.1.). 2. Die Vorinstanz hat die dem Entscheid zugrunde zu legenden rechtlichen Voraussetzungen zutreffend dargestellt, weshalb darauf verwiesen werden kann. In prozessualer Hinsicht ist ergänzend festzuhalten, dass für vorsorgliche Mass- nahmen während des Scheidungsverfahrens – unter Vorbehalt von Art. 272 und 273 ZPO – die Vorschriften über das summarische Verfahren im Sinne von Art. 248 ff. ZPO anwendbar sind (Art. 276 Abs. 1 ZPO i.V.m. Art. 271 lit. a ZPO). Es soll in einem raschen Verfahren – ohne Anspruch auf abschliessende Beurtei- lung – eine vorläufige Friedensordnung hergestellt werden. Die entscheidrelevan- ten tatsächlichen Verhältnisse sind daher lediglich glaubhaft zu machen (Leuen- berger in: FamKomm Scheidung, 2. Aufl. 2011, Band II, Anh. ZPO, Art. 276 N. 1 und 17). Das Gericht muss somit nicht von der Richtigkeit einer Behauptung überzeugt sein, es reicht aus, dass aufgrund objektiver Anhaltspunkte eine gewis- se Wahrscheinlichkeit für das Bestehen der fraglichen Tatsachen spricht. Dabei ist analog zu Art. 8 ZGB eine "Glaubhaftmachungslast" derjenigen Partei zu be- achten, welche aus einer behaupteten Tatsache Rechte ableitet (BGer 5A_117/2010 vom 5. März 2010 Erw. 3.3). Gemäss Art. 272 ZPO stellt das Ge- richt in eherechtlichen Summarverfahren den Sachverhalt von Amtes wegen fest. Es handelt sich hierbei um die eingeschränkte Untersuchungsmaxime. Sind aller- dings Kinderbelange zu regeln, gelten die uneingeschränkte (strenge) Untersu-</w:t>
      </w:r>
    </w:p>
    <w:p>
      <w:r>
        <w:t>- 10 - chungsmaxime und die Offizialmaxime. Das Gericht erforscht den Sachverhalt von Amtes wegen und entscheidet ohne Bindung an die Parteianträge. Dies än- dert indes nichts an der geschilderten summarischen Natur des Verfahrens und an den Mitwirkungspflichten der Parteien bei der Feststellung des entscheidrele- vanten Sachverhalts (vgl. BK ZPO-Spycher, Art. 296 N. 7; Stefanie Pänder Baumann, DIKE-Komm-ZPO, Art. 272 N. 2). III. 1. Absprache Ferienbesuchsrecht (Dispositiv-Ziffer 4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