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LY120053 vom 8. Juli 2013</w:t>
      </w:r>
    </w:p>
    <w:p>
      <w:r>
        <w:t>ZH Obergericht, 2013-07-08, DE</w:t>
      </w:r>
    </w:p>
    <w:p>
      <w:r>
        <w:rPr>
          <w:b/>
        </w:rPr>
        <w:t xml:space="preserve">Quelle: </w:t>
      </w:r>
      <w:r>
        <w:t>https://mcp.opencaselaw.ch/entscheid/zh_obergericht_LY120053</w:t>
      </w:r>
    </w:p>
    <w:p>
      <w:r>
        <w:t>FR: ZH_OBERGERICHT LY120053 du 8 juillet 2013</w:t>
      </w:r>
    </w:p>
    <w:p>
      <w:r>
        <w:t>IT: ZH_OBERGERICHT LY120053 del 8 luglio 2013</w:t>
      </w:r>
    </w:p>
    <w:p>
      <w:pPr>
        <w:pStyle w:val="Heading2"/>
      </w:pPr>
      <w:r>
        <w:t>Erwägungen</w:t>
      </w:r>
    </w:p>
    <w:p>
      <w:r>
        <w:rPr>
          <w:b/>
        </w:rPr>
        <w:t>E. 1</w:t>
      </w:r>
    </w:p>
    <w:p>
      <w:r>
        <w:t>Die Parteien stehen seit dem 4. Juni 2010 beim Einzelgericht des Be- zirksgerichts Dietikon in einem Scheidungsverfahren mit Teileinigung (Urk. 1). An- lässlich der Hauptverhandlung vom 20. September 2010 beantragte die Gesuch- stellerin im Sinne vorsorglicher Massnahmen, der Gesuchsteller sei zu verpflich- ten, ihr für die Dauer des Scheidungsverfahrens einen monatlichen Unterhaltsbei- trag von Fr. 2'800.– zu bezahlen (Urk. 17 S. 1). Der Gesuchsteller liess auf Ab- weisung dieses Gesuchs antragen (Prot. I S. 8). Mit Verfügung vom 20. Septem- ber 2010 wurde der Antrag der Gesuchstellerin abgewiesen (Urk. 19 S. 13). Ge- mäss Rekursentscheid der Kammer vom 13. April 2011 wurde in der Folge die Vereinbarung der Parteien vom 22. März 2011 vorgemerkt und das Verfahren als dadurch erledigt abgeschrieben. Dabei verpflichtete sich der Gesuchsteller, der Gesuchstellerin ab 1. November 2010 für die Dauer des Scheidungsverfahrens monatliche, im Voraus auf den Ersten eines jeden Monats zahlbare Unterhaltsbei- träge von Fr. 2'040.– pro Monat zu bezahlen (Urk. 32).</w:t>
      </w:r>
    </w:p>
    <w:p>
      <w:r>
        <w:rPr>
          <w:b/>
        </w:rPr>
        <w:t>E. 2</w:t>
      </w:r>
    </w:p>
    <w:p>
      <w:r>
        <w:t>Im Rahmen der schriftlichen Stellungnahme zu den Noven in der Dup- lik vom 2. Juli 2012 beantragte der Gesuchsteller die Aufhebung seiner laufenden Unterhaltsverpflichtung (Urk. 81 S. 7). Diese Eingabe wurde der Gesuchstellerin zur Kenntnis gebracht (Urk. 84). Sie liess sich nicht dazu vernehmen (Urk. 2 S. 2). Mit Verfügung vom 29. November 2012 wies das Einzelgericht im ordentli- chen Verfahren des Bezirksgerichts Dietikon, wie eingangs dargetan, den Antrag des Gesuchstellers um Aufhebung seiner Verpflichtung zur Bezahlung von Unter- haltsbeiträgen an die Gesuchstellerin für die Dauer des Scheidungsverfahrens ab (Urk. 2).</w:t>
      </w:r>
    </w:p>
    <w:p>
      <w:r>
        <w:rPr>
          <w:b/>
        </w:rPr>
        <w:t>E. 3</w:t>
      </w:r>
    </w:p>
    <w:p>
      <w:r>
        <w:t>a) Gemäss aArt. 137 Abs. 2 ZGB i.V.m. Art. 179 ZGB kann eine Ab- änderung von Eheschutzmassnahmen respektive vorsorglichen Massnahmen verlangt werden, wenn sich die tatsächlichen Verhältnisse, die ihnen zugrunde liegen, verändert haben. Eine Abänderung ist jederzeit zulässig, wenn sich die Verhältnisse dauernd und wesentlich verändert haben oder wenn das Gericht bei Erlass der Massnahme wesentliche Tatsachen nicht gekannt oder wenn es die Verhältnisse unzutreffend gewürdigt hat (BSK ZGB I - Gloor, N 15 zu Art. 137). Entscheide betreffend vorsorgliche Massnahmen werden nicht materiell rechts- kräftig (BGE 133 III 393 E. 4, 5.1). b) Die Unterhaltsregelung, deren Abänderung der Gesuchsteller bean- tragt, wurde im Beschluss des Obergerichts vom 13. April 2011 festgesetzt. Darin</w:t>
      </w:r>
    </w:p>
    <w:p>
      <w:r>
        <w:t>- 9 - wurde der Gesuchsteller verpflichtet, der Gesuchstellerin ab 1. November 2010 für die Dauer des Scheidungsverfahrens monatliche Unterhaltsbeiträge von Fr. 2'040.00 zu bezahlen. In diesem Entscheid wurde exakt aufgeführt, auf wel- chen Einkommens- und Bedarfsverhältnissen die vorsorgliche Unterhaltsregelung basiert (Urk. 4/32 S. 3 f.). Im erstinstanzlichen Verfahren begründete der Gesuch- steller seinen Antrag auf Aufhebung der Unterhaltspflicht mit der pauschalen Aus- sage, die Gesuchstellerin lebe mit Herrn C._____ in einer umfassenden Lebens- gemeinschaft und Herr C._____ komme für die gemeinsamen Unterhaltskosten auf; mit den im abzuändernden Entscheid aufgeführten Bedarfszahlen setzte sich der Gesuchsteller nicht auseinander (Urk. 4/81 S. 7). c) Mit seiner Argumentation, eine umfassende Lebensgemeinschaft führe zum Dahinfallen der Unterhaltsansprüche, scheint sich der Gesuchsteller auf die Rechtsprechung zu aArt. 153 ZGB zu berufen, wonach eine Scheidungsrente bei einem dauerhaften, gefestigten Konkubinat entfällt (BGE 124 III 52 E. 2/a/aa S. 54). Diese Rechtsprechung kann jedoch nicht auf eine vorsorgliche Unterhalts- regelung übertragen werden, wie sie im vorliegenden Fall zu beurteilen ist. Allein die Tatsache, dass ein Ehegatte während der Dauer des Scheidungsverfahren mit einem Partner in einem (gefestigten) Konkubinat lebt, führt keineswegs automa- tisch zum Dahinfallen von Unterhaltsansprüchen. Vielmehr ist zu prüfen, in wel- chem Ausmass sich die Fixkosten (Wohn-, Versicherungs-, Kommunikationskos- ten etc.) durch das Konkubinat verringern. d) Weiter ist zu berücksichtigen, dass das Obergericht schon in seinem Beschluss vom 13. April 2011 davon ausging, dass die Gesuchstellerin in einer Haushaltgemeinschaft mit einer erwachsenen Person lebe. Dementsprechend wurde im Bedarf ein Grundbetrag von Fr. 1'100.00 aufgeführt (Kreisschreiben zur Berechnung des betreibungsrechtlichen Existenzminimums [ZR 108/2009 Nr. 62]); im Einzelnen wurden folgende Bedarfszahlen ausgewiesen (Urk. 32 S. 2): Grundbetrag Fr. 1'100.– Wohnkosten (hyp.) Fr. 1'350.– Krankenkasse Fr. 348.20 Selbstbehalt/Franchise Fr. 70.– Hausrat-/Haftpflichtversicherung Fr. 19.–</w:t>
      </w:r>
    </w:p>
    <w:p>
      <w:r>
        <w:t>- 10 - Telefon, Radio/TV Fr. 150.– AHV-Beiträge Fr. 121.40 Steuern Fr. 320.– Total (gerundet) Fr. 3'479.– Mit seiner Behauptung, die Gesuchstellerin lebe in einer Lebensgemein- schaft mit Herrn C._____, macht der Gesuchsteller weder veränderte Verhältnisse noch irrtümliche Annahmen im abzuändernden Entscheid geltend, weil das Ober- gericht wie erläutert schon damals vom Vorliegen jedenfalls einer Haushaltge- meinschaft ausging. Ein Änderungsgrund könnte höchstens darin liegen, dass der angebliche Lebenspartner im Vergleich zu damals in vermehrtem Mass zur De- ckung des Bedarfs der Gesuchstellerin beiträgt. Dies hätte aber vorausgesetzt, dass sich der Gesuchsteller im Einzelnen mit den obgenannten Bedarfspositionen auseinandergesetzt und dargelegt hätte, inwieweit seit dem 13. April 2011 verän- derte Verhältnisse eingetreten sind oder inwieweit im damaligen Beschluss irrtüm- liche Annahmen getroffen wurden. Entsprechende Angaben sind dem erstinstanz- lichen Abänderungsgesuch nicht zu entnehmen; vielmehr begnügte sich der Ge- suchsteller mit der vagen Aussage, Herr C._____ komme "für die gemeinsamen Unterhaltskosten" auf (Urk. 4/81 S. 7), ohne auf die oben aufgeführten Bedarfs- zahlen Bezug zu nehmen. Die Vorinstanz ging daher zutreffend davon aus, dass das Abänderungsbegehren nicht genügend substantiiert sei. e) Unsubstantiierte Behauptungen bilden keine ausreichende Tatsachen- darstellung, auf deren Grundlage ein Entscheid gefällt werden kann. Daher scha- det es der Gesuchstellerin nicht, dass sie die unsubstantiierten Behauptungen des Gesuchstellers im erstinstanzlichen Verfahren nicht bestritt. Wenn solche Be- hauptungen nicht Entscheidgrundlage bilden können, müssen sie auch nicht be- stritten werden. f) Zudem darf der Gesuchstellerin durch die Unterlassung der Bestreitung vor Vorinstanz kein Nachteil erwachsen, weil für sie mangels eines formellen An- trags auf Abänderung der vorsorglichen Unterhaltsbeiträge in der Eingabe des Gesuchstellers vom 2. Juli 2012 (Urk. 4/81), welche der Gesuchstellerin zur Kenntnisnahme zugestellt wurde (Urk. 84), und angesichts des bloss beiläufig ge- stellten Abänderungsgesuchs (Urk. 4/81 S. 7) jedenfalls nicht auf den ersten Blick</w:t>
      </w:r>
    </w:p>
    <w:p>
      <w:r>
        <w:t>- 11 - erkennbar war, dass sich ein Abänderungsverfahren anbahnen könnte. Kommt hinzu, dass die Vorderrichterin, welche das Massnahmenbegehren für unbegrün- det hielt, der Gesuchstellerin gestützt auf § 206 ZPO/ZH keine Frist zur Stellung- nahme anzusetzen hatte, sondern vielmehr das Begehren nach § 110 ZPO/ZH ohne Weiterungen sofort abweisen durfte (Frank/Sträuli/Messmer, Kommentar zur zürcherischen Zivilprozessordnung, 3. A., Zürich 1997, § 206 N 1 ZPO/ZH mit Hinweis auf ZR 94 Nr. 92). Umso weniger darf daher aufgrund der fehlenden Be- streitung durch die Gesuchstellerin auf Anerkennung des Sachverhalts geschlos- sen werden, wie der Gesuchsteller meint. g) Aus diesen Gründen wies die Vorinstanz das Abänderungsbegehren des Gesuchstellers (Aufhebung der Unterhaltszahlungen) zu Recht ab. Die Beru- fung erweist sich daher als unbegründet. IV. 1. Die Vorinstanz behielt die Regelung der Kosten- und Entschädigungs- folgen dem Endentscheid vor (Urk. 2 S. 4). 2. Bei der Abänderung von Unterhaltsbeiträgen im Scheidungsverfahren handelt es sich gemäss der Gebührenverordnung um eine nicht vermögensrecht- liche Streitigkeit, die auch vermögensrechtliche Begehren beinhaltet. Die Ent- scheidgebühr für das Berufungsverfahren ist in Anwendung von § 2 lit. a, c und d sowie § 12 Abs. 1 und 2, § 5 Abs. 1 und § 8 Abs. 1 der Gebührenverordnung des Obergerichts vom 8. September 2010 (GebV OG [LS 211.11]) auf Fr. 3'000.– festzusetzen. Ausgangsgemäss sind die Kosten des Berufungsverfahrens dem Gesuch- steller aufzuerlegen und mit seinem Kostenvorschuss über Fr. 3'000.– (Urk. 10) zu verrechnen (Art. 106 Abs. 1 ZPO; Art. 111 Abs. 1 ZPO). Zudem ist er zur Leistung einer Parteientschädigung an die Gesuchstellerin von Fr. 2'000.– zuzüglich Fr. 160.– (8 % Mehrwertsteuer, Urk. 12 S. 2) zu ver-</w:t>
      </w:r>
    </w:p>
    <w:p>
      <w:r>
        <w:t>- 12 - pflichten (§ 2 lit. a, c, d und e, § 5 Abs. 1, § 9 und § 13 Abs. 1 AnwGebV [LS 215.3]).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