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LY110031 vom 5. März 2013</w:t>
      </w:r>
    </w:p>
    <w:p>
      <w:r>
        <w:t>ZH Obergericht, 2013-03-05, DE</w:t>
      </w:r>
    </w:p>
    <w:p>
      <w:r>
        <w:rPr>
          <w:b/>
        </w:rPr>
        <w:t xml:space="preserve">Quelle: </w:t>
      </w:r>
      <w:r>
        <w:t>https://mcp.opencaselaw.ch/entscheid/zh_obergericht_LY110031</w:t>
      </w:r>
    </w:p>
    <w:p>
      <w:r>
        <w:t>FR: ZH_OBERGERICHT LY110031 du 5 mars 2013</w:t>
      </w:r>
    </w:p>
    <w:p>
      <w:r>
        <w:t>IT: ZH_OBERGERICHT LY110031 del 5 marzo 2013</w:t>
      </w:r>
    </w:p>
    <w:p>
      <w:pPr>
        <w:pStyle w:val="Heading2"/>
      </w:pPr>
      <w:r>
        <w:t>Erwägungen</w:t>
      </w:r>
    </w:p>
    <w:p>
      <w:r>
        <w:rPr>
          <w:b/>
        </w:rPr>
        <w:t>E. 1</w:t>
      </w:r>
    </w:p>
    <w:p>
      <w:r>
        <w:t>Den Akten, insbesondere dem Entscheid der Vorinstanz (Urk. 2 S. 3) sowie der Trennungsvereinbarung und Vorausscheidungskonvention (Urk. 5/18/1) kann entnommen werden, dass die Parteien Eheleute sind, seit Anfang 2007 ge- trennt leben und zur Zeit in einem Ehescheidungsverfahren gemäss Art. 114 ZGB stehen. Die Klägerin arbeitet bei einer Bank und bildet sich berufsbegleitend zur Betriebsökonomin aus, der Beklagte ist Jurist und betreibt zusammen mit einem Partner eine Unternehmung im Finanzbereich. Die Parteien haben zwei Töchter, C._____, geb. tt.mm.1996 und D._____, geb. tt.mm.1998.</w:t>
      </w:r>
    </w:p>
    <w:p>
      <w:r>
        <w:rPr>
          <w:b/>
        </w:rPr>
        <w:t>E. 1.1</w:t>
      </w:r>
    </w:p>
    <w:p>
      <w:r>
        <w:t>Die Klägerin rügt, die Vorinstanz habe zu Unrecht ihren Antrag auf Er- richtung einer Besuchsbeistandschaft im Sinne von Art. 308 Abs. 2 ZGB abge- wiesen. Sie macht sinngemäss geltend, dass die Parteien derzeit nicht mehr mit- einander kommunizieren können. Sie, die Klägerin, vertraue dem Beklagten nicht mehr, da er sie angelogen habe und intransparent sei. Da das Vertrauen die Ba- sis für ein konstruktives Gespräch auf Elternebene sei, könne ein solches nun nicht mehr geführt werden. Die Kinder seien mit dem gleichen Problem konfron- tiert. Es bedürfe daher einer Fachperson, um den Kindern und dem Beklagten zu helfen, wieder normalen Kontakt aufzubauen. Der Gesetzgeber sähe für diesen Fall die Errichtung einer Besuchsbeistandschaft vor. Dabei müsse eine speziell ausgebildete Person in Gesprächen mit den Kindern und dem Beklagten das Be- suchsrecht langsam wieder aufbauen. Bis zu diesem Zeitpunkt müsse aber das Besuchsrecht sistiert werden, der Beistand müsste dann darauf hinwirken, dass das Besuchsrecht wieder normal durchgeführt werden könne (Urk. 2/1 S. 11 f.).</w:t>
      </w:r>
    </w:p>
    <w:p>
      <w:r>
        <w:t>- 39 -</w:t>
      </w:r>
    </w:p>
    <w:p>
      <w:r>
        <w:rPr>
          <w:b/>
        </w:rPr>
        <w:t>E. 1.2</w:t>
      </w:r>
    </w:p>
    <w:p>
      <w:r>
        <w:t>Der Beklagte hält dem sinngemäss entgegen, die Errichtung einer Be- suchsbeistandschaft sei im vorliegenden Fall nicht zielführend, die Vorinstanz ha- be daher den betreffenden Antrag zu Recht abgewiesen (Urk 20/12 S. 12 f.).</w:t>
      </w:r>
    </w:p>
    <w:p>
      <w:r>
        <w:rPr>
          <w:b/>
        </w:rPr>
        <w:t>E. 1.3</w:t>
      </w:r>
    </w:p>
    <w:p>
      <w:r>
        <w:t>Die Vorinstanz wies den Antrag der Klägerin auf Errichtung einer Be- suchsbeistandschaft ab, da sie davon ausging, dass die Problematik der Weige- rung der Kinder, den Beklagten zu besuchen, so nicht gelöst werden könne (Urk. 2 S. 15).</w:t>
      </w:r>
    </w:p>
    <w:p>
      <w:r>
        <w:rPr>
          <w:b/>
        </w:rPr>
        <w:t>E. 1.4</w:t>
      </w:r>
    </w:p>
    <w:p>
      <w:r>
        <w:t>Vorliegend gilt es die Besonderheit zu berücksichtigten, dass der Be- klagte während des Zusammenlebens zeitweise ausserordentlich hohe Einkünfte hatte (Beträge von über einer Million; Urk. 5/18/1 S. 22 Ziff. 4.12.1), er aber nun selbstständig bzw. bei einer Unternehmung angestellt ist, an der er massgeblich beteiligt ist und behauptet, ein wesentlich tieferes, bzw. gar nur ein hypotheti- sches Einkommen zu haben (Urk. 1 S. 6 f.). Da im Massnahmeverfahren grund- sätzlich auf die aktuellen Umstände abzustellen ist und sowohl die Höhe des Ein- kommens als auch der Bedarf der Parteien Grundlage der Methodenwahl und der darauf folgenden Unterhaltsberechnung ist, müssen zunächst diese Grössen er- mittelt werden. 2. Einkommen der Parteien</w:t>
      </w:r>
    </w:p>
    <w:p>
      <w:r>
        <w:rPr>
          <w:b/>
        </w:rPr>
        <w:t>E. 2</w:t>
      </w:r>
    </w:p>
    <w:p>
      <w:r>
        <w:t>In der Sache sind vorliegend die einstweilige Regelung der Unterhalts- beiträge (Urk. 1 S. 2, Urk. 20/1 S. 2 f.) und die Errichtung einer Besuchsbeistand- schaft bzw. damit zusammenhängend das Besuchsrecht (Urk. 20/1 S. 2 f.) um- stritten. Die weiteren von der Vorinstanz getroffenen Regelungen blieben unange- fochten. Es kann deshalb vorgemerkt werden, dass die Dispositivziffern 1 - 3 so- wie 7 und 8 des Urteils des Bezirksgerichts Meilen, Einzelgericht im ordentlichen Verfahren vom 15. August 2011 (Geschäfts-Nr.: FE100149) mit Ablauf der Beru- fungsfrist am 5. September 2011 in Rechtskraft erwachsen sind. 3.1. Am 2. August 2010 machte die Klägerin eine Scheidungsklage im Sin- ne von Art. 114 ZGB bei der Vorinstanz anhängig (Urk. 5/2). Im Rahmen dieses Verfahrens beantragte sie mit Eingabe vom 3. August 2010 den Erlass von vor- sorglichen Massnahmen (Urk. 5/3). Am 15. August 2011 fällte die Vorinstanz den Massnahmenentscheid, dessen Dispositiv hiervor wiedergegeben wurde. Über</w:t>
      </w:r>
    </w:p>
    <w:p>
      <w:r>
        <w:t>- 7 - den detaillierten Verlauf des Verfahrens gibt der angefochtene Entscheid Auskunft (Urk. 2 S. 3 ff.). 3.2. Mit Eingaben vom 5. September 2011 erhoben beide Parteien eine Be- rufung und stellten die eingangs aufgeführten Rechtsbegehren (Urk. 1 und Urk. 20/1). Es wurden zwei Verfahren mit den Geschäftsnummern LY110031 und LY110033 angelegt. Mit Verfügungen vom 14. September 2011 (Urk. 6 und 20/6) wurden die Be- gehren der Parteien um Erteilung der aufschiebenden Wirkung abgewiesen und Vorschüsse für die Kosten in der Höhe von je Fr. 3'000.– einverlangt. Die Vor- schüsse wurden innert Frist bezahlt (Urk. 7 und Urk. 20/9). In der Folge erstatte- ten die Parteien die Berufungsantworten am 14. Oktober 2011 bzw. am 24. Okto- ber 2011 (Urk. 20/9 und Urk. 12) und nahmen danach am 15. Dezember 2011 und 17. November 2011 je zur Berufungsantwort der Gegenpartei Stellung (Urk. 20/17 und Urk. 14). Dabei wurden umfangreiche Beilagen eingereicht (insbeson- dere Urk. 11/1-20). Die Stellungnahmen wurden den Parteien je zur Kenntnis ge- bracht. 3.3. Am 1. Februar 2012 teilte die Klägerin verschiedene Änderungen be- züglich ihrer Arbeit und Ausbildung mit (Urk. 20/20). Am 16. März 2012 reichte die Klägerin Unterlagen ein, betreffend eine Reduktion des Arbeitspensums, die ent- sprechende Lohnsenkung, zweimaligen unbezahlten Urlaub, sowie Erhöhung der Schulkosten (Urk. 20/23 f.) Die Eingaben wurde dem Beklagten nebst Beilagen zur Kenntnis gebracht.</w:t>
      </w:r>
    </w:p>
    <w:p>
      <w:r>
        <w:rPr>
          <w:b/>
        </w:rPr>
        <w:t>E. 2.1</w:t>
      </w:r>
    </w:p>
    <w:p>
      <w:r>
        <w:t>Grundsätzlich werden die Kosten gemäss Art. 106 Abs. 1 ZPO nach Obsiegen und Unterliegen verlegt. Gemäss bisheriger Rechtsprechung des Ober- gerichtes waren aber die Kosten des Verfahrens in Bezug auf Kinderbelange un- abhängig vom Ausgang den Parteien je zur Hälfte aufzuerlegen, wenn die Partei- en unter dem Gesichtspunkt des Kindesinteresses achtenswerte Gründe zur An- tragstellung hatten. Diesfalls wurden auch keine Prozessentschädigungen ausge- richtet (ZR 84 Nr. 41). Diese Rechtsprechung ist auch unter dem eidgenössischen Zivilprozess- recht sachgerecht. Dies insbesondere, da Art. 107 Abs. 1 lit. b und c ZPO aus- drücklich vorsieht, dass das Gericht in Fällen, in denen eine Partei in guten Treu- en zur Prozessführung veranlasst war, sowie in familienrechtlichen Verfahren von den üblichen Verteilungsgrundsätzen abweichen und die Prozesskosten nach Ermessen verteilen kann (vgl. auch Beschluss und Urteil vom 25. Januar 2012, Obergericht des Kantons Zürich, I. Zivilkammer, Geschäft Nr. LE110049, abzuru- fen unter http://www.gerichte-zh.ch/entscheide/entscheide-suchen.html). Dabei ist unter Kinderbelangen die elterliche Sorge (früher elterliche Gewalt), die Obhut, das Besuchsrecht und eine allfällige Beistandschaft zu verstehen. Obwohl Ent- scheidungen in diesen Punkten sehr häufig die Entscheidung in anderen Punkten beeinflussen (insbesondere die Kinderunterhaltsbeiträge), gilt die Praxis der hälf- tigen Kostenauflage für weitere Streitpunkte zumindest dann nicht, wenn diesen eigenständige Bedeutung zukommt.</w:t>
      </w:r>
    </w:p>
    <w:p>
      <w:r>
        <w:t>- 46 -</w:t>
      </w:r>
    </w:p>
    <w:p>
      <w:r>
        <w:rPr>
          <w:b/>
        </w:rPr>
        <w:t>E. 2.2</w:t>
      </w:r>
    </w:p>
    <w:p>
      <w:r>
        <w:t>Wenn wie vorliegend sowohl Kinderbelange (Verbeiständung der Kin- der und Besuchsrecht) als auch andere Belange (Ehegatten- und Kinderunterhalt) zu regeln sind, muss abgeschätzt werden, in welchem Umfang die Kosten auf die Kinderbelange und die restlichen Belange entfallen. Gegebenenfalls sind die Kos- ten betreffend Kinderbelange hälftig aufzuerlegen, die weiteren Kosten aber ge- mäss Obsiegen und Unterliegen zu verteilen. 3.1. Daran zu zweifeln, dass die Anträge betreffend die Verbeiständung und das Besuchsrecht nicht in guten Treuen erfolgten ist in vorliegendem Verfahren kein Grund ersichtlich. Die Kosten bezüglich der Kinderbelange sind den Parteien daher hälftig aufzuerlegen. Der Anteil der Kinderbelange an den Gesamtkosten des vorliegenden Verfahrens ist dabei auf 1/3 zu bemessen. Dementsprechend ist dieser Kostenanteil den Parteien je zur Hälfte aufzuerlegen. 3.2. Der verbleibende Teil der Kosten ist nach Obsiegen und Unterliegen zu verteilen. Die Klägerin beantragte, die Unterhaltsbeiträge seien für die Zeit vom 3. Au- gust 2010 bis 31. März 2011 um Fr. 3'683.– und ab 1. April 2011 um Fr. 3'820.– auf Fr. 13'280.– pro Monat zuzüglich der Schulkosten zu erhöhen. Für die vorlie- gend zu klärende Frage ist von Schulkosten in der Höhe von Fr. 4'166.– auszu- gehen. Die Klägerin fordert also im Ergebnis für die Zeit vom 3. August 2010 bis 31. März 2011 eine Erhöhung der Unterhaltsbeiträge um Fr. 7'849.– und für die Zeit ab 1. April 2011 eine Erhöhung um Fr. 7'986.–. Der Beklagte verlangte dementgegen, die Unterhaltsbeiträge für die Zeit vom 3. August 2010 bis 31. März 2011 um Fr. 3'097.– pro Monat und für die Zeit ab dem 1. April 2011 um Fr. 2'960.– auf Fr. 6'500.– zu senken. Im Ergebnis werden die Unterhaltsbeiträge ohne zeitliche Staffelung auf Fr. 8'780.– pro Monat festgelegt, es erfolgt mithin eine Senkung für die erste Peri- ode um Fr. 817.– und für die zweite Periode um Fr. 680.–. Die Klägerin unterliegt mit ihren Anträgen vollumfänglich, der Gesuchsteller für die erste Periode zu rund</w:t>
      </w:r>
    </w:p>
    <w:p>
      <w:r>
        <w:t>- 47 - 73 % und für die zweite Periode zu rund 77 %, insgesamt ist daher von einem un- terliegen von 3/4 auszugehen. Zu beachten ist, dass der Betrag der Erhöhung, den die Klägerin fordert, mehr als doppelt so hoch ist, wie jener der Senkung, die der Beklagte geltend macht. Das vollumfängliche Unterliegen der Klägerin ist daher doppelt zu gewich- ten. Insgesamt sind die betreffenden Kosten der Klägerin somit zu 3/4 und zu 1/4 dem Beklagten aufzuerlegen.</w:t>
      </w:r>
    </w:p>
    <w:p>
      <w:r>
        <w:rPr>
          <w:b/>
        </w:rPr>
        <w:t>E. 4</w:t>
      </w:r>
    </w:p>
    <w:p>
      <w:r>
        <w:t>Im Ergebnis – in gesamthafter Betrachtung aller Umstände – sind die Kosten somit der Klägerin zu 2/3 aufzuerlegen und dem Beklagten zu 1/3. Dem- entsprechend ist die Klägerin in Anwendung von Art. 106 Abs. 2 ZPO zu verpflich- ten, dem Beklagten für das vorliegende Verfahren eine auf 1/3 reduzierte Pro- zessentschädigung zu bezahlen. 5.1. Die Entscheidgebühr für das Berufungsverfahren ist in Anwendung von § 2 Abs. 1 der Gebührenverordnung des Obergerichts vom 8. September 2009 (GebV OG [LS 211.11]) sowie § 12 Abs. 1 und 2 GebV OG, § 5 Abs. 1 GebV OG und § 8 Abs. 1 GebV OG zu bemessen. Unter Berücksichtigung der zahlreichen strittigen Punkte und den damit verbundenen tatsächlichen und rechtlichen Fra- gestellungen, des beachtlichen Umfanges der zum Teil neu eingereichten Akten sowie des Umstandes, dass vorliegend zwei Verfahren entschieden werden, ist die Entscheidgebühr auf Fr. 6'000.– festzusetzen. 5.2. Gemäss Art. 105 Abs. 2 ZPO spricht das Gericht nach den Tarifen im Sinne von Art. 96 ZPO eine Parteientschädigung zu und verlegt diese in Anwen- dung von Art. 106 Abs. 2 ZPO. Gemäss §1 Abs. 2 der Verordnung über die An- waltsgebühren vom 8. September 2010 (AnwGebV; LS 215.3) i.V.m. § 11 Anw- GebV setzt sich die Entschädigung aus einer Grundgebühr und allfälligen Zu- schlägen sowie den nötigen Auslagen zusammen. Im summarischen Verfahren beträgt die Grundgebühr gemäss § 6 Abs. 1 - 3 AnwGebV i.V.m. § 5 Abs. 1 Anw- GebV und § 9 AnwGebV rund Fr. 280.– bis Fr. 16'000.–. In diesem Rahmen ist sie unter Berücksichtigung der Verantwortung, der Schwierigkeit des Falls und des Zeitaufwandes im Sinne von § 5 Abs. 1 AnwGebV festzulegen. Für das</w:t>
      </w:r>
    </w:p>
    <w:p>
      <w:r>
        <w:t>- 48 - Rechtsmittelverfahren ist gemäss § 13 Abs. 1 AnwGebV nur noch darauf abzu- stellen, was vor der Rechtsmittelinstanz noch streitig war. 5.3. Vorliegend waren noch die Unterhaltsbeiträge für die Klägerin und die Kinder, die Beistandschaft und das Besuchsrecht streitig. Die Anwälte trugen im vorliegenden Verfahren, da Kinderbelange zu entscheiden waren, doch eine be- achtliche Verantwortung. Unterhaltsrechtliche Fragen und Fragen im Zusammen- hang mit Kinderbelangen weisen zwar durchaus eine gewisse Komplexität auf, müssen aber sehr häufig entschieden werden. Es kann daher nicht von einer be- sonderen Schwierigkeit ausgegangen werden. Andererseits präsentierte sich die finanzielle Situation der Parteien komplex, ausserdem liegt ein beachtlicher Ak- tenumfang vor, was einen erhöhten Zeitaufwand nach sich zieht. Zudem muss be- rücksichtigt werden, dass beide Parteien je eine Berufung erhoben hatten und die Rechtsvertreter daher sowohl je eine Berufungsschrift als auch eine Berufungsan- twort sowie die entsprechenden Stellungnahmen verfassen mussten, was den Zeitaufwand deutlich erhöht. Dem ist mit einem Zuschlag gemäss § 2 Abs. 2 An- wGebV zu begegnen. 5.4. Insgesamt ist von einer vollen Parteientschädigung von Fr. 9'000.– zu- züglich Mehrwertsteuer auszugehen. Die auf einen Drittel reduzierte Parteient- schädigung ist daher auf total Fr. 3'240.– festzusetzen. Es wird zunächst beschlossen:</w:t>
      </w:r>
    </w:p>
    <w:p>
      <w:r>
        <w:rPr>
          <w:b/>
        </w:rPr>
        <w:t>E. 4.1</w:t>
      </w:r>
    </w:p>
    <w:p>
      <w:r>
        <w:t>Dem Familienbedarf von ca. Fr. 23'027.– steht ein Familieneinkommen von ca. Fr.28'880.– gegenüber, woraus ein Überschuss von ca. Fr. 5'853.– resul- tiert. Es liegen damit sehr gute finanzielle Verhältnisse vor. Diese sind aber den- noch nicht vergleichbar mit Verhältnissen, wenn Einkünfte im höheren sechs- oder gar im siebenstelligen Bereich vorhanden sind und zudem nur ein Haushalt finanziert werden muss. Die Verhältnisse haben sich demnach tiefgreifend verän- dert. Der Lebensstandard während der Zeit mit sehr hohen Einkünften ist daher als Orientierungspunkt zur aktuellen Unterhaltsberechnung nicht mehr geeignet. Dass die Vorinstanz vor diesem Hintergrund eine einstufige Unterhaltsbe- rechnung als nicht zielführend erachtete und stattdessen eine zweistufige Unter- haltsberechnung vornahm, ist nicht zu beanstanden.</w:t>
      </w:r>
    </w:p>
    <w:p>
      <w:r>
        <w:rPr>
          <w:b/>
        </w:rPr>
        <w:t>E. 4.1.1</w:t>
      </w:r>
    </w:p>
    <w:p>
      <w:r>
        <w:t>Die Klägerin beantragte, das Besuchsrecht so lange zu sistieren, bis das Verhältnis zwischen den Kindern und dem Beklagten sich wieder normali- siert hat (Urk. 20/1 S. 2). Diesbezüglich merkt der Beklagte an, dass die Regelung des Besuchs- und Ferienrechts als solche nicht angefochten wurde, sondern nur die Sistierung beantragt wurde (Urk. 20/12 S. 7).</w:t>
      </w:r>
    </w:p>
    <w:p>
      <w:r>
        <w:rPr>
          <w:b/>
        </w:rPr>
        <w:t>E. 4.1.2</w:t>
      </w:r>
    </w:p>
    <w:p>
      <w:r>
        <w:t>Für Kinderbelange gilt die uneingeschränkte Offizial- und Unter- suchungsmaxime (Hausheer/Reusser/Geiser, Berner Kommentar, Art. 159-180 ZGB, 2. Aufl., Bern 1999, Art. 176 N 41). Das Gericht ist einerseits nicht an die Anträge der Parteien gebunden, andererseits ist den Parteien die Verfügung über den Prozessgegenstand entzogen. Nachdem das Besuchsrecht durch den Sistie- rungsantrag und die Anfechtung der betreffenden Dispositivziffer des vorinstanzli- chen Urteils zum Gegenstand des vorliegenden Verfahrens geworden ist, muss die Kammer dieses prüfen.</w:t>
      </w:r>
    </w:p>
    <w:p>
      <w:r>
        <w:rPr>
          <w:b/>
        </w:rPr>
        <w:t>E. 4.2</w:t>
      </w:r>
    </w:p>
    <w:p>
      <w:r>
        <w:t>Gemäss höchstrichterlicher Rechtsprechung ist der Wille eines in Be- zug auf die Frage des Besuchsrecht urteilsfähigen Kindes das massgebliche Kri- terium, zur Entscheidung ob und ggf. wie das Besuchsrecht auszugestalten sei. Wenn ein urteilsfähiges Kind den Kontakt entschieden und klar ablehnt, sich also einen festen Willen gebildet hat und nicht aus einer momentanen Stimmung her- aus den Kontakt ablehnt, muss dieser Wille berücksichtigt werden. Dies, da wenn gegen diesen Willen ein Besuchsrecht aufgezwungen würde, zu befürchten ist, dass dem eigentlichen Zweck des Besuchsrechtes, nämlich die gute persönliche Entwicklung des Kindes zu unterstützen, entgegen gewirkt wird. Überdies ist ein derartiger Eingriff in das Persönlichkeitsrecht des Kindes nur schwer zu rechtferti- gen (Urteil des Bundesgerichts 5C.250/2005 vom 3. Januar 2006 E. 3.2.1., bestä- tigt in Urteil 5A_160/2011 vom 29. März 2001 E. 4, je mit weiteren Hinweisen). Diese Rechtsprechung steht in Einklang mit Studien, die belegen, dass der er- zwungene Besuchskontakt sowohl der Beziehung des Kindes zur obhutsberech- tigten Person, als auch zur besuchsberechtigten Person abträglich ist (Dettenborn</w:t>
      </w:r>
    </w:p>
    <w:p>
      <w:r>
        <w:t>- 44 - H., Kindeswohl und Kindeswille, 3. A., München/Basel 2010, S. 96 ff. insbesonde- re S. 98, m.w.H.).</w:t>
      </w:r>
    </w:p>
    <w:p>
      <w:r>
        <w:rPr>
          <w:b/>
        </w:rPr>
        <w:t>E. 4.3</w:t>
      </w:r>
    </w:p>
    <w:p>
      <w:r>
        <w:t>Es erscheint vor dem Hintergrund dieser Erwägungen, der gerade hier- vor zusammengefassten klaren Äusserungen und des Alters der Kinder als ver- tieft prüfenswert, ob die Festsetzung eines Besuchsrechts nach wie vor ange- bracht ist. Zu berücksichtigen ist, dass auch wenn ein Besuchsrecht gerichtlich festge- legt wurde, dessen Vollstreckung gegen den Willen der Kinder – insbesondere wenn die Kinder bereits im Teenageralter stehen – praktisch unmöglich ist. Von gewisser Bedeutung kann die Signalwirkung des gerichtlich festgelegten Be- suchsrecht dennoch sein. Diese kann aber auch kontraproduktiv wirken, wenn die Kinder dies als Missachtung ihres Willens bzw. ihrer Bedürfnisse verstehen. Vor- liegend wird durch die Verbeiständung klar angezeigt, wie wichtig der Kontakt zum Vater ist, zumal diesbezüglich auch Einigkeit zwischen den Parteien besteht. Die allfällige positive Signalwirkung eines gerichtlich festgelegten Besuchsrechts rückt daher stark in den Hintergrund.</w:t>
      </w:r>
    </w:p>
    <w:p>
      <w:r>
        <w:rPr>
          <w:b/>
        </w:rPr>
        <w:t>E. 4.4</w:t>
      </w:r>
    </w:p>
    <w:p>
      <w:r>
        <w:t>Im Ergebnis rechtfertigt sich die Festlegung eines Besuchsrechtes nicht mehr, es ist daher von einer solchen abzusehen.</w:t>
      </w:r>
    </w:p>
    <w:p>
      <w:r>
        <w:t>- 45 - V. Kosten- und Entschädigungsfolgen 1. Die Vorinstanz hat den Entscheid über die Kosten- und Entschädigungsfolgen in Anwendung von § 71 ZPO/ZH dem Endentscheid vorbehalten (Urk. 2 S. 32). Dieses Vorgehen wird auch in Art. 104 Abs. 1 ff. ZPO vorgesehen. Es ist vorliegend nicht zu beanstanden, weshalb sich eine Regelung der Kosten für das vorinstanzliche Verfahren erübrigt. Die entsprechende Rüge der Klägerin ist somit unbegründet, zumal sie die vorliegend zu bestätigende Kos- tenregelung zunächst selbst beantragt hatte (Urk. 20/1 S. 6 Ziff. 6; Prot. I S. 2 Ziff.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