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LU250003 vom 28. Mai 2025</w:t>
      </w:r>
    </w:p>
    <w:p>
      <w:r>
        <w:t>ZH Obergericht, 2025-05-28, DE</w:t>
      </w:r>
    </w:p>
    <w:p>
      <w:r>
        <w:rPr>
          <w:b/>
        </w:rPr>
        <w:t xml:space="preserve">Quelle: </w:t>
      </w:r>
      <w:r>
        <w:t>https://mcp.opencaselaw.ch/entscheid/zh_obergericht_LU250003</w:t>
      </w:r>
    </w:p>
    <w:p>
      <w:r>
        <w:t>FR: ZH_OBERGERICHT LU250003 du 28 mai 2025</w:t>
      </w:r>
    </w:p>
    <w:p>
      <w:r>
        <w:t>IT: ZH_OBERGERICHT LU250003 del 28 maggio 2025</w:t>
      </w:r>
    </w:p>
    <w:p>
      <w:pPr>
        <w:pStyle w:val="Heading2"/>
      </w:pPr>
      <w:r>
        <w:t>Erwägungen</w:t>
      </w:r>
    </w:p>
    <w:p>
      <w:r>
        <w:rPr>
          <w:b/>
        </w:rPr>
        <w:t>E. 1</w:t>
      </w:r>
    </w:p>
    <w:p>
      <w:r>
        <w:t>a) Mit Eingabe von Ende März 2024 stellte der Kläger beim Friedensrich- teramt Wetzikon ein Schlichtungsgesuch betreffend eine – gemäss seinen Aus- führungen hauptsächlich – arbeitsrechtliche Forderung (Urk. 2). Mit Verfügung vom 29. Oktober 2024 entschied das Friedensrichteramt Wetzikon das Folgende (Urk. 1 [= Urk. 14] S. 2): "1. Das Verfahren wird als gegenstandslos abgeschrieben.</w:t>
      </w:r>
    </w:p>
    <w:p>
      <w:r>
        <w:rPr>
          <w:b/>
        </w:rPr>
        <w:t>E. 2</w:t>
      </w:r>
    </w:p>
    <w:p>
      <w:r>
        <w:t>Die auf 12.11.2024 angesetzte Schlichtungsverhandlung findet nicht statt.</w:t>
      </w:r>
    </w:p>
    <w:p>
      <w:r>
        <w:rPr>
          <w:b/>
        </w:rPr>
        <w:t>E. 3</w:t>
      </w:r>
    </w:p>
    <w:p>
      <w:r>
        <w:t>Es fallen keine Gerichtsgebühren an.</w:t>
      </w:r>
    </w:p>
    <w:p>
      <w:r>
        <w:rPr>
          <w:b/>
        </w:rPr>
        <w:t>E. 4</w:t>
      </w:r>
    </w:p>
    <w:p>
      <w:r>
        <w:t>Schriftliche Mitteilung an die Parteien, je gegen Empfangsschein.</w:t>
      </w:r>
    </w:p>
    <w:p>
      <w:r>
        <w:rPr>
          <w:b/>
        </w:rPr>
        <w:t>E. 5</w:t>
      </w:r>
    </w:p>
    <w:p>
      <w:r>
        <w:t>Das Gesuch um Wiederherstellung einer Frist ist innert zehn Tagen seit Wegfall des Säumnisgrundes einzureichen (Art. 148 Abs. 2 ZPO). Vorliegend macht der Kläger geltend, er habe am 29. April 2025 erfahren, dass beim Oberge- richt des Kantons Zürich nichts betreffend seine Rechtsmittelschrift vom Novem- ber 2024 bekannt sei (Urk. 13). Das Wiederherstellungsgesuch der Rechtsmittel- frist, das am 5. Mai 2025 bei der deutschen Post aufgegeben wurde und am</w:t>
      </w:r>
    </w:p>
    <w:p>
      <w:r>
        <w:rPr>
          <w:b/>
        </w:rPr>
        <w:t>E. 7</w:t>
      </w:r>
    </w:p>
    <w:p>
      <w:r>
        <w:t>Für das zweitinstanzliche Verfahren ist umständehalber auf die Erhebung von Gerichtskosten zu verzichten. Zudem sind für das zweitinstanzliche Verfahren keine Parteientschädigungen zuzusprechen (vgl. Art. 106 Abs. 1 ZPO, Art. 95 Abs. 3 ZPO).</w:t>
      </w:r>
    </w:p>
    <w:p>
      <w:r>
        <w:t>- 6 - Es wird beschlossen: 1. Das Fristwiederherstellungsgesuch des Klägers zur Berufungsfrist wird ab- gewiesen. 2. Für das zweitinstanzliche Verfahren werden keine Gerichtskosten erhoben. 3. Für das zweitinstanzliche Verfahren werden keine Parteientschädigungen zugesprochen. 4. Schriftliche Mitteilung an die Parteien, an den Kläger auf dem Rechtshilfe- weg, an die Beklagte unter Beilage von Kopien der Urk. 13, 13A, 15a und 15b gegen Empfangsschein, sowie an die Vorinstanz gegen Empfangs- schein. Die Akten des Friedensrichteramtes Wetzikon gehen nach unbenütztem Ab- lauf der Rechtsmittelfrist an dieses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der Haupt- sache übersteigt Fr. 15'000.–. Die Beschwerde an das Bundesgericht hat keine aufschiebende Wirkung. Hinsichtlich des Fristenlaufs gelten die Art. 44 ff. BGG.</w:t>
      </w:r>
    </w:p>
    <w:p>
      <w:r>
        <w:t>- 7 - Zürich, 28. Mai 2025 Obergericht des Kantons Zürich I. Zivilkammer Der Gerichtsschreiber: lic. iur. A. Baumgartner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