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LU240001 vom 5. Juni 2024</w:t>
      </w:r>
    </w:p>
    <w:p>
      <w:r>
        <w:t>ZH Obergericht, 2024-06-05, DE</w:t>
      </w:r>
    </w:p>
    <w:p>
      <w:r>
        <w:rPr>
          <w:b/>
        </w:rPr>
        <w:t xml:space="preserve">Quelle: </w:t>
      </w:r>
      <w:r>
        <w:t>https://mcp.opencaselaw.ch/entscheid/zh_obergericht_LU240001</w:t>
      </w:r>
    </w:p>
    <w:p>
      <w:r>
        <w:t>FR: ZH_OBERGERICHT LU240001 du 5 juin 2024</w:t>
      </w:r>
    </w:p>
    <w:p>
      <w:r>
        <w:t>IT: ZH_OBERGERICHT LU240001 del 5 giugno 2024</w:t>
      </w:r>
    </w:p>
    <w:p>
      <w:pPr>
        <w:pStyle w:val="Heading2"/>
      </w:pPr>
      <w:r>
        <w:t>Erwägungen</w:t>
      </w:r>
    </w:p>
    <w:p>
      <w:r>
        <w:rPr>
          <w:b/>
        </w:rPr>
        <w:t>E. 2</w:t>
      </w:r>
    </w:p>
    <w:p>
      <w:r>
        <w:t>Gegen den Beschluss erhob der Kläger mit Eingabe vom 8. Mai 2024 rechtzeitig Berufung (act. 15, zur Rechtzeitigkeit act. 9). Die vorinstanzlichen Ak- ten wurden von Amtes wegen beigezogen (act. 1 – 12). Das Verfahren ist spruchreif. Auf die Ausführungen des Klägers ist nur in- soweit einzugehen, als sie für den Berufungsentscheid relevant sind.</w:t>
      </w:r>
    </w:p>
    <w:p>
      <w:r>
        <w:rPr>
          <w:b/>
        </w:rPr>
        <w:t>E. 3</w:t>
      </w:r>
    </w:p>
    <w:p>
      <w:r>
        <w:t>Damit auf ein Rechtsmittel überhaupt eingetreten werden kann, müssen die Prozessvoraussetzungen nach Art. 59 ZPO erfüllt sein, was von Amtes wegen zu prüfen ist (Art. 60 ZPO). Dabei stellt sich die Frage, ob auf die Berufung man- gels Prozessführungsbefugnis nicht eingetreten werden kann.</w:t>
      </w:r>
    </w:p>
    <w:p>
      <w:r>
        <w:rPr>
          <w:b/>
        </w:rPr>
        <w:t>E. 3.1</w:t>
      </w:r>
    </w:p>
    <w:p>
      <w:r>
        <w:t>Der Konkursit verliert mit der Konkurseröffnung die Befugnis zu Prozess- handlungen u.a. betreffend die aus dem Konkursvermögen zu deckenden Ver- pflichtungen. Vielmehr geht die Prozessführungsbefugnis an die Konkursmasse über, die durch die Konkursverwaltung vertreten wird (BSK SchKG II-WOHLF- ART/MEYER HONEGGER, 3. Auflage 2021, Art. 204 N 44, u.a. mit Verweis auf BGer 4D_34/2016 vom 20. Juni 2016).</w:t>
      </w:r>
    </w:p>
    <w:p>
      <w:r>
        <w:t>- 3 -</w:t>
      </w:r>
    </w:p>
    <w:p>
      <w:r>
        <w:rPr>
          <w:b/>
        </w:rPr>
        <w:t>E. 3.2</w:t>
      </w:r>
    </w:p>
    <w:p>
      <w:r>
        <w:t>Wie dargelegt wurde über den Kläger mit Urteil des Konkursgerichts des Bezirks Zürich vom 5. März 2024 – soweit ersichtlich rechtskräftig – der Konkurs eröffnet. Folglich ist der Kläger nicht (mehr) berechtigt, die vorliegende Berufung zu führen, zumal der Streitgegenstand (Mietvertrag zwischen den Parteien) das Konkursvermögen beschlägt. Entsprechend ist auf die Berufung nicht einzutreten.</w:t>
      </w:r>
    </w:p>
    <w:p>
      <w:r>
        <w:rPr>
          <w:b/>
        </w:rPr>
        <w:t>E. 3.3</w:t>
      </w:r>
    </w:p>
    <w:p>
      <w:r>
        <w:t>Der Berufung wäre im Übrigen auch kein Erfolg beschieden, wenn auf sie einzutreten wäre: Aufgrund der Konkurseröffnung – und der damit zusammenhän- genden Beschränkung (s. E. 3.1. f. vorstehend) – war der Kläger (auch) nicht be- rechtigt, bei der Vorinstanz ein Kündigungsschutzbegehren zu stellen. Der Um- stand, dass der Kündigungsgrund nicht die Konkurseröffnung war (vgl. act.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