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LS100011 vom 22. November 2011</w:t>
      </w:r>
    </w:p>
    <w:p>
      <w:r>
        <w:t>ZH Obergericht, 2011-11-22, DE</w:t>
      </w:r>
    </w:p>
    <w:p>
      <w:r>
        <w:rPr>
          <w:b/>
        </w:rPr>
        <w:t xml:space="preserve">Quelle: </w:t>
      </w:r>
      <w:r>
        <w:t>https://mcp.opencaselaw.ch/entscheid/zh_obergericht_LS100011</w:t>
      </w:r>
    </w:p>
    <w:p>
      <w:r>
        <w:t>FR: ZH_OBERGERICHT LS100011 du 22 novembre 2011</w:t>
      </w:r>
    </w:p>
    <w:p>
      <w:r>
        <w:t>IT: ZH_OBERGERICHT LS100011 del 22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Kläger und Rekurrent (nachfolgend Kläger) machte mit Eingabe vom 15. März 2010 am 17. März 2010 vor Vorinstanz eine Klage gegen die Be- klagte und Rekursgegnerin (nachfolgend Beklagte) anhängig, mit welcher er ei- nerseits die Feststellung des Weiterbestands des Arbeitsverhältnisses zwischen ihm und der Beklagten und anderseits die Bezahlung von ausstehenden Monats- löhnen für März bis August 2010 in der Höhe von insgesamt Fr. 138'480.– zuzüg- lich Zins von 5 % verlangte. Eventualiter beantragte er die Bezahlung des Lohnes für die Monate März bis Juni 2010 sowie zusätzlich die Bezahlung einer Entschä- digung wegen missbräuchlicher Kündigung in der Höhe von drei Monatslöhnen (Urk. 6/1, jeweils präzisiert mit Urk. 6/11 S. 2 und Urk. 6/15 S. 2). Anlässlich der Hauptverhandlung vom 15. Juni 2010 erhob die Beklagte die Einrede der (sachli- chen) Unzuständigkeit, mit der Begründung, es fehle an der für die Qualifikation als Arbeitsverhältnis nötigen Subordination des Klägers, da er grundsätzlich kei- nen Weisungen unterlegen sei (Urk. 6/12 Rz. 4). Im Rahmen der Fortsetzung der Hauptverhandlung vom 28. Oktober 2010 beantragte der Kläger die Abweisung der Unzuständigkeitseinrede und forderte das Gericht auf, den Zuständigkeitsent- scheid zu fällen (Urk. 6/15 Rz. 9). Daraufhin beschränkte die Vorinstanz das Pro- zessthema auf die Frage seiner sachlichen Zuständigkeit, trat gleichentags auf die Klage des Klägers nicht ein (Urk. 3 Dispositiv-Ziffer 1) und überwies den Pro- zess antragsgemäss an das Bezirksgericht Zürich (Urk. 3 Dispositiv-Ziffer 2).</w:t>
      </w:r>
    </w:p>
    <w:p>
      <w:r>
        <w:rPr>
          <w:b/>
        </w:rPr>
        <w:t>E. 2</w:t>
      </w:r>
    </w:p>
    <w:p>
      <w:r>
        <w:t>Es sei die Zuständigkeit des Arbeitsgerichts Zürich festzustellen und der Prozess zur Fortsetzung des Verfahrens an die Vorinstanz zurückzuweisen.</w:t>
      </w:r>
    </w:p>
    <w:p>
      <w:r>
        <w:rPr>
          <w:b/>
        </w:rPr>
        <w:t>E. 3</w:t>
      </w:r>
    </w:p>
    <w:p>
      <w:r>
        <w:t>Eventualiter seien Ziff. 3, 4 und 5 des angefochtenen Beschlusses aufzuheben und auf Kostenauflage und Ausrichtung einer Parteientschädigung zu verzichten.</w:t>
      </w:r>
    </w:p>
    <w:p>
      <w:r>
        <w:rPr>
          <w:b/>
        </w:rPr>
        <w:t>E. 4</w:t>
      </w:r>
    </w:p>
    <w:p>
      <w:r>
        <w:t>Subeventualiter seien die aufzuerlegenden Gerichtskosten und die aufzuerlegende Parteientschädigung angemessen zu reduzieren.</w:t>
      </w:r>
    </w:p>
    <w:p>
      <w:r>
        <w:rPr>
          <w:b/>
        </w:rPr>
        <w:t>E. 5</w:t>
      </w:r>
    </w:p>
    <w:p>
      <w:r>
        <w:t>Mit seinem Rekurs beantragt der Kläger wie bereits ausgeführt die Aufhebung des angefochtenen Beschlusses und die Rückweisung des Verfahrens an die Vorinstanz zur Weiterführung des erstinstanzlichen Verfahrens (Urk. 2 S. 2). Zur Begründung führt er aus, die Vorinstanz sei zu Unrecht nicht auf seine Klage eingetreten, denn entgegen deren Auffassung sei der im Jahr 2001 münd- lich abgeschlossene Vertrag als Arbeitsvertrag zu qualifizieren (Urk. 2 Rz. 21). Insbesondere habe er sehr wohl auch im Tagesgeschäft auf Weisung des Mehr- heitsaktionärs der Beklagen gehandelt, welcher sämtliche Budgets der Beklagten zu genehmigen gehabt habe und welcher von ihm ja auch die Zustimmung zu ei- ner Salärreduktion verlangt habe, bevor er ihm schliesslich gekündigt habe (Urk. 2 Rz. 29). Ferner sei - so der Kläger weiter - ein für ein Arbeitsverhältnis typisches wirtschaftliches Abhängigkeitsverhältnis zwischen ihm und der Beklagten ent- standen, seine Tätigkeit für die Beklagte habe hauptberuflichen Charakter gehabt (Urk. 2 Rz. 31f.). Der Hauptaktionär und (Mit-)Verwaltungsrat C._____ sei letztlich derjenige gewesen, der die Willensbildung der Beklagten allein bestimmt habe, was sich besonders augenfällig an der stetigen Kontrolle seiner Tätigkeit durch C._____ bzw. ab Oktober 2009 durch dessen Mitarbeiter D._____ zeige (Urk. 2 Rz. 36). 6.1. In seiner Rechtsprechung zur örtlichen Zuständigkeit hat das Bundes- gericht wiederholt festgehalten, dass für die Bestimmung des Gerichtsstandes gemäss Art. 24 Abs. 1 GestG (aufgehoben mit Inkrafttreten der Schweizerischen ZPO per 1. Januar 2011) bzw. dessen Vorgängernorm aArt. 343 Abs. 1 OR der Begriff der arbeitsrechtlichen Streitigkeit weit auszulegen sei. Darunter fallen sämtliche Klagen über Ansprüche, die auf Regeln gründen, welche auf Arbeitsver- träge anwendbar sind. Eine arbeitsrechtliche Streitigkeit liegt bereits dann vor,</w:t>
      </w:r>
    </w:p>
    <w:p>
      <w:r>
        <w:t>- 7 - wenn wie vorliegend umstritten ist, ob zwischen den Parteien ein Arbeitsvertrag besteht (Portmann, Basler Kommentar Obligationenrecht I, Basel 2007, Art. 343 OR N 2; Staehelin/Vischer, Zürcher Kommentar zum Schweizerischen Zivilge- setzbuch, Band V Obligationenrecht, Teilband 2c, Zürich 1996, Art. 343 OR N 6; Streiff/von Kaenel, Arbeitsvertrag, Praxiskommentar zu Art. 319-362 OR,</w:t>
      </w:r>
    </w:p>
    <w:p>
      <w:r>
        <w:rPr>
          <w:b/>
        </w:rPr>
        <w:t>E. 6</w:t>
      </w:r>
    </w:p>
    <w:p>
      <w:r>
        <w:t>Auflage, Zürich 2006, Art. 343 OR N 5; BGE 137 III 33f.). Diese sich auf die örtliche Zuständigkeit beziehenden Erwägungen gelten auch für die sachliche Zuständigkeit, das heisst für die Frage, ob das Arbeitsge- richt oder das Bezirksgericht für die Beurteilung eines Anspruchs zuständig ist (Urteil des Bundesgerichts vom 25. September 2006, 4P.104/2006). Massgebend für die Bestimmung der sachlichen Zuständigkeit ist einem allgemeinen pro- zessualen Grundsatz zufolge primär das anhängig gemachte Rechtsbegehren und die Vorbringen des Klägers, nicht das Prozessergebnis (Egli, Das arbeits- rechtliche Verfahren nach Art. 343 OR, in: Schweizerische Zeitschrift für Zivilpro- zess- und Zwangsvollstreckungsrecht, 2004, S. 22; Staehelin/Vischer, a.a.O., Art. 343 OR N 16). Es ist lediglich von Amtes wegen zu prüfen, ob sich aus den Tat- sachenbehauptungen des Klägers auf das Bestehen eines bestimmten (von ihm behaupteten) Vertragsverhältnisses schliessen lässt (BGE 137 III 34). Das Gericht ist indessen an die rechtliche Würdigung der geltend gemach- ten Ansprüche durch den Kläger nicht gebunden; die Beantwortung dieser Frage hat aber nicht bei der Prüfung der Zuständigkeit, sondern erst bei der materiellen Beurteilung des klägerischen Anspruchs zu erfolgen. Somit sind vom Kläger be- hauptete Tatsachen, welche sowohl für die Zuständigkeit des angerufenen Ge- richts als auch für die Begründetheit der Klage erheblich sind (sog. doppelrelevan- te Tatsachen) für die Beurteilung der Zuständigkeit als wahr zu unterstellen. Eine Ausnahme gilt lediglich dort, wo die klägerischen Behauptungen auf Anhieb fa- denscheinig oder inkohärent erscheinen und durch die Klageantwort sowie durch die von der Gegenseite produzierten Dokumente unmittelbar und eindeutig wider- legt werden können. Wenn dadurch die vom Kläger behauptete rechtliche Qualifi- kation seines Anspruchs ausgeschlossen erscheint, ist auf die Klage nicht einzu-</w:t>
      </w:r>
    </w:p>
    <w:p>
      <w:r>
        <w:t>- 8 - treten (BGE 137 III S. 34; Urteil des Bundesgerichts vom 25. September 2006, 4P.104/2006; BGE 136 III 487f.).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