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LN100041 vom 22. November 2011</w:t>
      </w:r>
    </w:p>
    <w:p>
      <w:r>
        <w:t>ZH Obergericht, 2011-11-22, DE</w:t>
      </w:r>
    </w:p>
    <w:p>
      <w:r>
        <w:rPr>
          <w:b/>
        </w:rPr>
        <w:t xml:space="preserve">Quelle: </w:t>
      </w:r>
      <w:r>
        <w:t>https://mcp.opencaselaw.ch/entscheid/zh_obergericht_LN100041</w:t>
      </w:r>
    </w:p>
    <w:p>
      <w:r>
        <w:t>FR: ZH_OBERGERICHT LN100041 du 22 novembre 2011</w:t>
      </w:r>
    </w:p>
    <w:p>
      <w:r>
        <w:t>IT: ZH_OBERGERICHT LN100041 del 22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Einreichen der am 9. Juni 2009 ausgestellten Weisung des Friedensrich- teramtes C._____ machte die Klägerin gegenüber der Beklagten bei der Vo- rinstanz eine Klage auf Zahlung von Fr. 167'505.75 zuzüglich Zins von 5% seit 30. April 2009 rechtshängig (Vi Urk. 2 und 4/1).</w:t>
      </w:r>
    </w:p>
    <w:p>
      <w:r>
        <w:rPr>
          <w:b/>
        </w:rPr>
        <w:t>E. 2</w:t>
      </w:r>
    </w:p>
    <w:p>
      <w:r>
        <w:t>Mit Verfügung der Vorinstanz vom 10. Februar 2010 wurde der Prozess auf Antrag der Beklagten (Vi Urk. 18) einstweilen auf die Fragen der örtlichen Zustän- digkeit und der Aktivlegitimation beschränkt und der Beklagten wurde die mit Ver- fügung vom 11. Januar 2010 angesetzte Frist zur Erstattung der Klageantwort be- treffend Äusserung zur Sache einstweilen abgenommen (Vi Urk. 19).</w:t>
      </w:r>
    </w:p>
    <w:p>
      <w:r>
        <w:rPr>
          <w:b/>
        </w:rPr>
        <w:t>E. 3</w:t>
      </w:r>
    </w:p>
    <w:p>
      <w:r>
        <w:t>Mit Beschluss vom 14. Juli 2010 wies die Vorinstanz die von der Beklagten erhobene Einrede der fehlenden örtlichen Zuständigkeit ab und trat auf die Klage ein (Urk. 3).</w:t>
      </w:r>
    </w:p>
    <w:p>
      <w:r>
        <w:rPr>
          <w:b/>
        </w:rPr>
        <w:t>E. 4</w:t>
      </w:r>
    </w:p>
    <w:p>
      <w:r>
        <w:t>Mit Eingabe vom 20. August 2010 erhob die Beklagte fristgerecht Rekurs gegen den vorinstanzlichen Beschluss vom 14. Juli 2010 und beantragte, es sei auf die Klage nicht einzutreten; eventualiter sei die Klage abzuweisen (Urk. 2 S. 2).</w:t>
      </w:r>
    </w:p>
    <w:p>
      <w:r>
        <w:rPr>
          <w:b/>
        </w:rPr>
        <w:t>E. 5</w:t>
      </w:r>
    </w:p>
    <w:p>
      <w:r>
        <w:t>Am 1. September 2010 bezahlte die Beklagte die ihr mit Präsidialverfügung vom 27. August 2010 auferlegte Prozesskaution von Fr. 7'600.– (Urk. 5 und 6).</w:t>
      </w:r>
    </w:p>
    <w:p>
      <w:r>
        <w:rPr>
          <w:b/>
        </w:rPr>
        <w:t>E. 6</w:t>
      </w:r>
    </w:p>
    <w:p>
      <w:r>
        <w:t>Am 3. September 2010 verzichtete die Vorinstanz auf Vernehmlassung (Urk. 8).</w:t>
      </w:r>
    </w:p>
    <w:p>
      <w:r>
        <w:rPr>
          <w:b/>
        </w:rPr>
        <w:t>E. 7</w:t>
      </w:r>
    </w:p>
    <w:p>
      <w:r>
        <w:t>Mit Eingabe vom 27. September 2010 erstattete die Klägerin die Rekursant- wort innert einmal erstreckter Frist (Urk. 9 und 10).</w:t>
      </w:r>
    </w:p>
    <w:p>
      <w:r>
        <w:t>- 3 - II. Am 1. Januar 2011 ist die Schweizerische Zivilprozessordnung in Kraft getreten. Für Rechtsmittelverfahren, die vor diesem Zeitpunkt eingeleitet wurden, ist das bisherige Recht weiterhin anwendbar (Art. 404 ZPO). Das Rekursverfahren unter- steht daher den bisherigen Verfahrensvorschriften der kantonalzürcherischen Zi- vilprozessordnung (nachfolgend: ZPO/ZH).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