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LN020094 vom 20. April 2001</w:t>
      </w:r>
    </w:p>
    <w:p>
      <w:r>
        <w:t>ZH Obergericht, 2001-04-20, DE</w:t>
      </w:r>
    </w:p>
    <w:p>
      <w:r>
        <w:rPr>
          <w:b/>
        </w:rPr>
        <w:t xml:space="preserve">Quelle: </w:t>
      </w:r>
      <w:r>
        <w:t>https://mcp.opencaselaw.ch/entscheid/zh_obergericht_LN020094</w:t>
      </w:r>
    </w:p>
    <w:p>
      <w:r>
        <w:t>FR: ZH_OBERGERICHT LN020094 du 20 avril 2001</w:t>
      </w:r>
    </w:p>
    <w:p>
      <w:r>
        <w:t>IT: ZH_OBERGERICHT LN020094 del 20 aprile 2001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Dass es der Gesetzgeber unterlassen hat, den vorliegenden Fall im Ge- setz explizit zu regeln, liegt an der etwas singulären Konstellation: Währenddem nämlich vorliegend der Friedensrichter im Revisionsverfahren - zuständigerweise (§ 295 Abs. 1 ZPO) - über einen Anspruch von gut Fr. 35'000.-- autoritativ ent- schieden hat, wird sonst ein Rekurs nach § 271 ZPO gegen einen Beschwerde- entscheid eines Bezirksgerichts schon regelmässig daran scheitern, dass der Streitwert für die Berufung an das Bundesgericht nicht gegeben ist (vgl. § 271 Abs. 1 ZPO). Der Friedensrichter hat nämlich grundsätzlich lediglich die Kompe- tenz, Streitigkeiten bis zu einem Streitwert von Fr. 500.-- selber zu entscheiden (§ 6 Abs. 1 GVG). Daneben hat er noch Entscheidkompetenz hinsichtlich der Zu- lassung eines Parteivertreters, der Kosten- und Entschädigungsregelung und der unentgeltlichen Prozessführung (Frank/Sträuli/Messmer, a.a.O., N. 3 zu § 98 ZPO), wo der Streitwert die Fr. 8'000.-- gemäss Art. 46 OG auch kaum erreichen dürfte. Dass der Friedensrichter in einer Situation wie der vorliegenden einmal zu einem Entscheid berufen sein könnte, bei welchem der Streitwert unter Umstän- den mehrere Fr. 10'000.-- (oder gar noch mehr) betragen kann, hat der Gesetz- geber ganz offensichtlich nicht bedacht.</w:t>
      </w:r>
    </w:p>
    <w:p>
      <w:r>
        <w:rPr>
          <w:b/>
        </w:rPr>
        <w:t>E. 3</w:t>
      </w:r>
    </w:p>
    <w:p>
      <w:r>
        <w:t>Es handelt sich hier um eine (echte) Lücke im Gesetz. Da für die Inter- pretation des Prozessrechts die allgemeinen Regeln über die Gesetzesauslegung gelten, sind allfällige Lücken analog zu Art. 1 Abs. 2 ZGB durch richterliche Rechtsschöpfung zu füllen (BGE 122 I 254 E. 6, m.w.H.). Aufgrund der vorste- henden Erwägungen ist klar, dass der Gesetzgeber - wenn er denn die vorliegen- de Konstellation vor Augen gehabt hätte - eine analoge Regelung zu § 284 Ziff. 1 ZPO ins Gesetz aufgenommen hätte, wonach gegen Entscheide einer Kassati- onsinstanz eben auch der Rekurs nicht zulässig ist.</w:t>
      </w:r>
    </w:p>
    <w:p>
      <w:r>
        <w:rPr>
          <w:b/>
        </w:rPr>
        <w:t>E. 4</w:t>
      </w:r>
    </w:p>
    <w:p>
      <w:r>
        <w:t>Auf den Rekurs ist deshalb nicht einzutreten." (Das Bundesgericht ist am 12. März 2003 auf eine gegen diesen Entscheid ge- richtete staatsrechtliche Beschwerde nicht eingetreten, weil die Beschwerdeschrift den gesetzlichen Anforderungen nicht entsprach.)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