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LH190001 vom 14. Mai 2019</w:t>
      </w:r>
    </w:p>
    <w:p>
      <w:r>
        <w:t>ZH Obergericht, 2019-05-14, DE</w:t>
      </w:r>
    </w:p>
    <w:p>
      <w:r>
        <w:rPr>
          <w:b/>
        </w:rPr>
        <w:t xml:space="preserve">Quelle: </w:t>
      </w:r>
      <w:r>
        <w:t>https://mcp.opencaselaw.ch/entscheid/zh_obergericht_LH190001</w:t>
      </w:r>
    </w:p>
    <w:p>
      <w:r>
        <w:t>FR: ZH_OBERGERICHT LH190001 du 14 mai 2019</w:t>
      </w:r>
    </w:p>
    <w:p>
      <w:r>
        <w:t>IT: ZH_OBERGERICHT LH190001 del 14 maggio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den Zugang zur unabhängigen Justiz zu öffnen</w:t>
      </w:r>
    </w:p>
    <w:p>
      <w:r>
        <w:rPr>
          <w:b/>
        </w:rPr>
        <w:t>E. 2</w:t>
      </w:r>
    </w:p>
    <w:p>
      <w:r>
        <w:t>das ordentliche Verfahren wiederherzustellen</w:t>
      </w:r>
    </w:p>
    <w:p>
      <w:r>
        <w:rPr>
          <w:b/>
        </w:rPr>
        <w:t>E. 3</w:t>
      </w:r>
    </w:p>
    <w:p>
      <w:r>
        <w:t>das rechtliche Gehör zu öffnen</w:t>
      </w:r>
    </w:p>
    <w:p>
      <w:r>
        <w:rPr>
          <w:b/>
        </w:rPr>
        <w:t>E. 4</w:t>
      </w:r>
    </w:p>
    <w:p>
      <w:r>
        <w:t>Rechtsverzögerung bzw. Rechtsverweigerung a) Mit der Beschwerde kann Rechtsverzögerung bzw. Rechtsverweige- rung geltend gemacht werden (vgl. Art. 319 lit. c ZPO). Darunter ist die Rechts- verweigerung in formeller Hinsicht zu verstehen, d.h. dass ein (anfechtbarer) Ent- scheid vom dazu berufenen Gericht nicht gefällt wird, obwohl er gefällt werden könnte (Freiburghaus/Afheldt, in: Sutter-Somm et al., ZPO Komm., Art. 320 N 7 und Art. 319 N 17). b) Die Klägerin macht in ihrer Rechtsverzögerungseingabe im Wesentli- chen geltend, der Zugang zum Schadenersatzverfahren gegen die haftenden Banken sei zu öffnen und die willkürliche Rechtsverweigerung durch Entzug der Zustellungen zu unterbinden (Urk. 3, Urk. 15/1). c) Die von der Klägerin angestrengten Prozesse wurden allesamt rechts- kräftig abgeschlossen, erstinstanzlich mit Urteil des Bezirksgerichts Zürich vom</w:t>
      </w:r>
    </w:p>
    <w:p>
      <w:r>
        <w:rPr>
          <w:b/>
        </w:rPr>
        <w:t>E. 6</w:t>
      </w:r>
    </w:p>
    <w:p>
      <w:r>
        <w:t>a) Für das Revisionsverfahren ist von einem Streitwert von rund Fr. 18 Mio. auszugehen (Urk. 4 S. 20). Die Entscheidgebühr ist in Anwendung von § 4 Abs. 1 und 2, § 10 Abs. 1 und § 12 GebV OG auf Fr. 3'000.-- festzusetzen. b) Die Gerichtskosten des Revisionsverfahrens sind ausgangsgemäss der Klägerin aufzuerlegen (Art. 106 Abs. 1 ZPO). c) Die Klägerin hat für das Revisionsverfahren kein Gesuch um unentgelt- liche Rechtspflege gestellt (Urk. 1-3, 14 und 15/1-2). Dadurch entsteht ihr aller- dings kein Nachteil, denn der Anspruch auf unentgeltliche Rechtspflege setzt ne- ben der Mittellosigkeit auch voraus, dass die Rechtsbegehren nicht aussichtslos erscheinen (Art. 117 lit. b ZPO). Das Revisionsgesuch ist jedoch als aussichtslos anzusehen (vgl. vorstehende Erwägungen), weshalb ein Gesuch um unentgeltli- che Rechtspflege abzuweisen gewesen wäre. d) Für das Revisionsverfahren sind keine Parteientschädigungen zuzu- sprechen, der Klägerin zufolge ihres Unterliegens, der Beklagten mangels rele- vanter Umtriebe (Art. 106 Abs. 1, Art. 95 Abs. 3 ZPO).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