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LF250122 vom 4. März 2026</w:t>
      </w:r>
    </w:p>
    <w:p>
      <w:r>
        <w:t>ZH Obergericht, 2026-03-04, DE</w:t>
      </w:r>
    </w:p>
    <w:p>
      <w:r>
        <w:rPr>
          <w:b/>
        </w:rPr>
        <w:t xml:space="preserve">Quelle: </w:t>
      </w:r>
      <w:r>
        <w:t>https://mcp.opencaselaw.ch/entscheid/zh_obergericht_LF250122</w:t>
      </w:r>
    </w:p>
    <w:p>
      <w:r>
        <w:t>FR: ZH_OBERGERICHT LF250122 du 4 mars 2026</w:t>
      </w:r>
    </w:p>
    <w:p>
      <w:r>
        <w:t>IT: ZH_OBERGERICHT LF250122 del 4 marzo 2026</w:t>
      </w:r>
    </w:p>
    <w:p>
      <w:pPr>
        <w:pStyle w:val="Heading2"/>
      </w:pPr>
      <w:r>
        <w:t>Erwägungen</w:t>
      </w:r>
    </w:p>
    <w:p>
      <w:r>
        <w:rPr>
          <w:b/>
        </w:rPr>
        <w:t>E. 1</w:t>
      </w:r>
    </w:p>
    <w:p>
      <w:r>
        <w:t>den vollbürtigen Bruder A._____, geboren tt. August 1950, von Zürich und D._____, … [Adresse],</w:t>
      </w:r>
    </w:p>
    <w:p>
      <w:r>
        <w:rPr>
          <w:b/>
        </w:rPr>
        <w:t>E. 1.1</w:t>
      </w:r>
    </w:p>
    <w:p>
      <w:r>
        <w:t>Am tt.mm.2025 verstarb C._____ (nachfolgend Erblasser), wohnhaft gewe- sen in Zürich. Am 20. November 2025 reichte seine Lebenspartnerin F._____ beim Einzelgericht Erbschaftssachen des Bezirksgerichts Zürich (nachfolgend Vorinstanz) ein Testament des Erblassers vom 14. November 2025 offen zur Er- öffnung ein (act. 3 E. I.; act. 4/1a). Mit Urteil vom 5. Dezember 2025 hielt die Vor- instanz fest, dass der Erblasser folgende gesetzlichen Erben aus der elterlichen Verwandtschaft hinterlassen habe (act. 3 E. II.):</w:t>
      </w:r>
    </w:p>
    <w:p>
      <w:r>
        <w:rPr>
          <w:b/>
        </w:rPr>
        <w:t>E. 1.2</w:t>
      </w:r>
    </w:p>
    <w:p>
      <w:r>
        <w:t>Zudem hielt die Vorinstanz insbesondere fest, der Erblasser habe in seinem Testament vom 14. November 2025 alle bisherigen letztwilligen Verfügungen auf- gehoben, ein Vermächtnis ausgerichtet und A._____ zu 50 % sowie 11 weitere Personen und Institutionen – darunter B._____ – zu 50 % als Erben seines Nach- lasses eingesetzt (act. 3 E. III.).</w:t>
      </w:r>
    </w:p>
    <w:p>
      <w:r>
        <w:rPr>
          <w:b/>
        </w:rPr>
        <w:t>E. 1.3</w:t>
      </w:r>
    </w:p>
    <w:p>
      <w:r>
        <w:t>Dagegen erhob A._____ (nachfolgend Erstberufungskläger) mit Eingabe vom 16. Dezember 2025 sinngemäss Berufung (nachfolgend Erstberufung), wo- bei er erklärte, dass G._____ und I._____ nicht Halbbrüder seien, sondern die Söhne des 2. Ehemannes seiner Mutter (vgl. act. 2; vgl. zur Rechtzeitigkeit act. 4/19).</w:t>
      </w:r>
    </w:p>
    <w:p>
      <w:r>
        <w:rPr>
          <w:b/>
        </w:rPr>
        <w:t>E. 1.4</w:t>
      </w:r>
    </w:p>
    <w:p>
      <w:r>
        <w:t>Mit Eingabe vom 23. Dezember 2025 erhob B._____ (nachfolgend Zweitbe- rufungsklägerin) ebenfalls rechtzeitig Berufung gegen das vorstehend genannte Urteil vom 5. Dezember 2025 (nachfolgend Zweitberufung). Die Zweitberufung wurde unter der Geschäfts-Nr. LF250124 angelegt. In besagter Berufung machte die Zweitberufungsklägerin ebenfalls geltend, dass G._____ und I._____ im ange-</w:t>
      </w:r>
    </w:p>
    <w:p>
      <w:r>
        <w:t>- 3 - fochtenen Entscheid zu Unrecht als gesetzliche Erben aufgeführt worden seien und beantragte dessen Aufhebung bzw. Korrektur (LF250124 act. 2; vgl. zur Rechtzeitigkeit act. 4/19).</w:t>
      </w:r>
    </w:p>
    <w:p>
      <w:r>
        <w:rPr>
          <w:b/>
        </w:rPr>
        <w:t>E. 1.5</w:t>
      </w:r>
    </w:p>
    <w:p>
      <w:r>
        <w:t>Darüber hinaus gelangte der Erstberufungskläger noch im Dezember 2025 mit demselben Hinweis wie in seiner Berufung an die Vorinstanz. In der Folge er- wog die Vorinstanz mit Verfügung vom 7. Januar 2026, dass nach Einsicht in den Familienschein der Eltern des Erblassers und in die Auskunft des Bezirksgerichts Baden hervorgehe, dass die als halbbürtige Brüder des Erblassers bezeichneten Personen G._____ und I._____ tatsächlich keine Halbbrüder seien. Daher sei das Urteil vom 5. Dezember 2025 dahingehend zu berichtigen, dass G._____ und I._____ nicht Beteiligte und entsprechend auch nicht zur Einsprache (i.S.v. Art. 559 ZGB) berechtigt seien (act. 5 E. II.1 und Disp.-Ziff. 1-2).</w:t>
      </w:r>
    </w:p>
    <w:p>
      <w:r>
        <w:rPr>
          <w:b/>
        </w:rPr>
        <w:t>E. 1.6</w:t>
      </w:r>
    </w:p>
    <w:p>
      <w:r>
        <w:t>Die Akten des vorinstanzlichen Verfahrens wurden beigezogen (act. 4/1-22). Das Verfahren (sowohl betreffend die Erst- als auch betreffend die Zweitberufung) erweist sich als spruchreif. 2.</w:t>
      </w:r>
    </w:p>
    <w:p>
      <w:r>
        <w:rPr>
          <w:b/>
        </w:rPr>
        <w:t>E. 2</w:t>
      </w:r>
    </w:p>
    <w:p>
      <w:r>
        <w:t>den halbbürtigen Bruder G._____, geboren tt. März 1948, von H._____, … [Adresse],</w:t>
      </w:r>
    </w:p>
    <w:p>
      <w:r>
        <w:rPr>
          <w:b/>
        </w:rPr>
        <w:t>E. 2.1</w:t>
      </w:r>
    </w:p>
    <w:p>
      <w:r>
        <w:t>Gemäss Art. 125 lit. c ZPO kann das Gericht zur Vereinfachung der Verfah- ren selbständig eingereichte Klagen bzw. Rechtsmittel vereinigen. Die Vereini- gung ist aus Gründen der Prozessökonomie dann angezeigt, wenn die Klagen bzw. Rechtsmittel einen sachlichen Zusammenhang aufweisen (SEILER, in: Sutter- Somm/Lötscher/Leuenberger/Seiler, ZPO Komm., 4.A. 2025, Art. 125 N 5).</w:t>
      </w:r>
    </w:p>
    <w:p>
      <w:r>
        <w:rPr>
          <w:b/>
        </w:rPr>
        <w:t>E. 2.2</w:t>
      </w:r>
    </w:p>
    <w:p>
      <w:r>
        <w:t>Gegenstand der Erst- und Zweitberufung ist derselbe Entscheid der Vorin- stanz. Weiter beziehen sich sowohl die Erst- wie auch die Zweitberufung auf die im angefochtenen Entscheid als Halbbrüder des Erblassers bezeichneten Perso- nen (G._____ und I._____). Der enge Sachzusammenhang zwischen den beiden Verfahren ist daher gegeben. Beide Verfahren befinden sich zudem im gleichen Stadium. Das Berufungsverfahren LF250124 ist deshalb mit dem Berufungsver- fahren LF250122 zu vereinigen und unter der letzten Verfahrensnummer weiter- zuführen. Die Akten des Verfahrens LF250124 sind zu den Akten LF250122 zu nehmen. Das Verfahren LF250124 ist als dadurch erledigt abzuschreiben.</w:t>
      </w:r>
    </w:p>
    <w:p>
      <w:r>
        <w:t>- 4 -</w:t>
      </w:r>
    </w:p>
    <w:p>
      <w:r>
        <w:rPr>
          <w:b/>
        </w:rPr>
        <w:t>E. 3</w:t>
      </w:r>
    </w:p>
    <w:p>
      <w:r>
        <w:t>Wie vorstehend ausgeführt, hielt die Vorinstanz mit Verfügung vom 7. Ja- nuar 2026 fest, dass G._____ und I._____ – wie vom Erstberufungskläger mitge- teilt – keine Halbbrüder des Erblassers und entsprechend keine gesetzlichen Er- ben seien (vgl. act. 5; E. 1.5). Somit trägt der neue Entscheid dem Anliegen der Berufungskläger vollumfänglich Rechnung, weshalb die Erst- wie auch die Zweit- berufung (infolge Wegfalls des schutzwürdigen Interesses der Berufungskläger an der Behandlung) gegenstandslos geworden und abzuschreiben sind.</w:t>
      </w:r>
    </w:p>
    <w:p>
      <w:r>
        <w:rPr>
          <w:b/>
        </w:rPr>
        <w:t>E. 4.1</w:t>
      </w:r>
    </w:p>
    <w:p>
      <w:r>
        <w:t>Wird das Verfahren als gegenstandslos abgeschrieben und sieht das Gesetz nichts anderes vor, kann das Gericht im Hinblick auf die Kosten- und Entschädi- gungsfolgen von den in Art. 106 ZPO statuierten Verteilungsgrundsätzen abwei- chen (Art. 107 Abs. 1 lit. e ZPO). Die Prozesskosten sind nach Ermessen zu ver- teilen, wobei etwa zu berücksichtigen ist, welche Partei Anlass zur Klage gegeben hat, welches der mutmassliche Prozessausgang gewesen wäre oder bei welcher Partei die Gründe eingetreten sind, die zur Gegenstandslosigkeit des Verfahrens geführt haben (Botschaft ZPO, S. 7297). Das Verfahren ist vorliegend aufgrund der – nach Einlegung der Rechtsmittel – erfolgten Berichtigung des angefochte- nen Entscheids durch die Vorinstanz gegenstandslos geworden, wobei die Vorin- stanz den Berufungsklägern in der Sache Recht gegeben und den Entscheid in ihrem Sinne angepasst hat. Insofern kann davon ausgegangen werden, dass das Anliegen der Berufungskläger bzw. die Erhebung eines Rechtsmittels berechtigt gewesen war. Unter diesen Umständen sind keine Kosten für das Berufungsver- fahren zu erheben. Da den Berufungsklägern kein zu entschädigender Aufwand entstanden ist, entfallen auch Parteientschädigungen.</w:t>
      </w:r>
    </w:p>
    <w:p>
      <w:r>
        <w:rPr>
          <w:b/>
        </w:rPr>
        <w:t>E. 4.2</w:t>
      </w:r>
    </w:p>
    <w:p>
      <w:r>
        <w:t>Sicherungsmassregeln, wozu auch die Eröffnung der letztwilligen Verfügung zählt, betreffen regelmässig den ganzen Nachlass, weshalb sich der Streitwert nach dem Bruttowert der Aktiven bestimmt (DIKE-Komm ZPO, DIGGELMANN, 3.A. 2025, Art. 91 N 30). Die Aktiven des Erblassers belaufen sich gemäss Hinweis auf dem Aktenumschlag der Vorinstanz auf Fr. 1'026'000.-- (vgl. act. 4).</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