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LF250102 vom 30. Januar 2026</w:t>
      </w:r>
    </w:p>
    <w:p>
      <w:r>
        <w:t>ZH Obergericht, 2026-01-30, DE</w:t>
      </w:r>
    </w:p>
    <w:p>
      <w:r>
        <w:rPr>
          <w:b/>
        </w:rPr>
        <w:t xml:space="preserve">Quelle: </w:t>
      </w:r>
      <w:r>
        <w:t>https://mcp.opencaselaw.ch/entscheid/zh_obergericht_LF250102</w:t>
      </w:r>
    </w:p>
    <w:p>
      <w:r>
        <w:t>FR: ZH_OBERGERICHT LF250102 du 30 janvier 2026</w:t>
      </w:r>
    </w:p>
    <w:p>
      <w:r>
        <w:t>IT: ZH_OBERGERICHT LF250102 del 30 gennaio 2026</w:t>
      </w:r>
    </w:p>
    <w:p>
      <w:pPr>
        <w:pStyle w:val="Heading2"/>
      </w:pPr>
      <w:r>
        <w:t>Erwägungen</w:t>
      </w:r>
    </w:p>
    <w:p>
      <w:r>
        <w:rPr>
          <w:b/>
        </w:rPr>
        <w:t>E. 4</w:t>
      </w:r>
    </w:p>
    <w:p>
      <w:r>
        <w:t>Die nicht streitige Testamentseröffnung vor erster Instanz wandelt sich in zweiter Instanz in eine vermögensrechtliche streitige Angelegenheit (vgl. etwa OGer ZH LF170058 vom 12. Januar 2018, E. 5.1). Die Kosten des Berufungsverfahrens sind ausgangsgemäss dem Berufungskläger aufzuerlegen (Art. 106 Abs. 1 ZPO). Die Entscheidgebühr ist in Anwendung von §§ 2, 4 Abs. 1 und 2, 8 Abs. 1 und 12 Abs. 1 und 2 GebV OG auf Fr. 600.– festzusetzen (vgl. E. 2.2. hiervor sowie act. 26). Parteientschädigungen sind nicht zuzusprechen, dem Berufungskläger nicht, weil er mit seiner Berufung unterliegt, und den Berufungsbeklagten nicht mangels entstandener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