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LF250065 vom 21. August 2025</w:t>
      </w:r>
    </w:p>
    <w:p>
      <w:r>
        <w:t>ZH Obergericht, 2025-08-21, DE</w:t>
      </w:r>
    </w:p>
    <w:p>
      <w:r>
        <w:rPr>
          <w:b/>
        </w:rPr>
        <w:t xml:space="preserve">Quelle: </w:t>
      </w:r>
      <w:r>
        <w:t>https://mcp.opencaselaw.ch/entscheid/zh_obergericht_LF250065</w:t>
      </w:r>
    </w:p>
    <w:p>
      <w:r>
        <w:t>FR: ZH_OBERGERICHT LF250065 du 21 août 2025</w:t>
      </w:r>
    </w:p>
    <w:p>
      <w:r>
        <w:t>IT: ZH_OBERGERICHT LF250065 del 21 agosto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Ausgangsgemäss wird die Berufungsklägerin für das zweitinstanzliche Ver- fahren kostenpflichtig (Art. 106 Abs. 1 ZPO).</w:t>
      </w:r>
    </w:p>
    <w:p>
      <w:r>
        <w:t>- 3 - Die Entscheidgebühr für das Berufungsverfahren ist im Rahmen von § 8 Abs. 4 GebV OG (Fr. 100.– bis maximal Fr. 7'000.–) in Würdigung des Streitwerts, des Zeitaufwandes und der Schwierigkeit des Falles festzusetzen (§§ 2 Abs. 1 lit. a, c und d sowie 8 Abs. 4 i.V.m. § 10 Abs. 1 und § 12 Abs. 1 und 2 GebV OG). Unter Berücksichtigung des geringen Aufwandes des Gerichts erscheint eine Ent- scheidgebühr von Fr. 400.– angemessen. Eine Parteientschädigung ist bei die- sem Prozessausgang nicht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