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LF250059 vom 5. August 2025</w:t>
      </w:r>
    </w:p>
    <w:p>
      <w:r>
        <w:t>ZH Obergericht, 2025-08-05, DE</w:t>
      </w:r>
    </w:p>
    <w:p>
      <w:r>
        <w:rPr>
          <w:b/>
        </w:rPr>
        <w:t xml:space="preserve">Quelle: </w:t>
      </w:r>
      <w:r>
        <w:t>https://mcp.opencaselaw.ch/entscheid/zh_obergericht_LF250059</w:t>
      </w:r>
    </w:p>
    <w:p>
      <w:r>
        <w:t>FR: ZH_OBERGERICHT LF250059 du 5 août 2025</w:t>
      </w:r>
    </w:p>
    <w:p>
      <w:r>
        <w:t>IT: ZH_OBERGERICHT LF250059 del 5 agosto 2025</w:t>
      </w:r>
    </w:p>
    <w:p>
      <w:pPr>
        <w:pStyle w:val="Heading2"/>
      </w:pPr>
      <w:r>
        <w:t>Erwägungen</w:t>
      </w:r>
    </w:p>
    <w:p>
      <w:r>
        <w:rPr>
          <w:b/>
        </w:rPr>
        <w:t>E. 7</w:t>
      </w:r>
    </w:p>
    <w:p>
      <w:r>
        <w:t>Juli 2025 Berufung bei der Kammer und beantragte die Aufhebung des vorin- stanzlichen Entscheids. Dies mit der Begründung, dass der Organisationsmangel mittlerweile behoben worden sei (act. 2 S. 2). 1.6. Die vorinstanzlichen Akten wurden von Amtes wegen beigezogen (act. 8/1–13). Die Sache ist spruchreif. 2.1. Gegen erstinstanzliche Endentscheide im summarischen Verfahren ist die Berufung in vermögensrechtlichen Angelegenheiten zulässig, wenn der Streitwert der zuletzt aufrechterhaltenen Rechtsbegehren mindestens CHF 10'000.– beträgt (Art. 308 Abs. 1 lit. a und Abs. 2 ZPO). Beim Verfahren betreffend Organisations- mängelbehebung handelt es sich um eine vermögensrechtliche Streitigkeit (OGer ZH, LF200049 vom 11. Dezember 2020 E. IV/2. mit Verweis auf LF110011 vom 14. Februar 2011 E. 3.2). Weil in einem Organisationsmängelverfahren in jedem Fall – aufgrund der geltenden Offizialmaxime unabhängig von den konkreten An- trägen der Parteien – die Auflösung der mit dem Organisationsmangel behafteten juristischen Person droht, ist der Streitwert im Grundsatz stets nach Massgabe des Gesamtwerts der betroffenen Gesellschaft zu berechnen (vgl. OGer ZH LF110011 vom 14. Februar 2011; ZR 110/2011 Nr. 30 E. 3.3.1; DIKE Komm ZPO-DIGGELMANN, 3. Aufl. 2025, Art. 91 N 54; SCHÖNBÄCHLER, Die Organisations- klage nach Art. 731b OR, 2013, S. 412 ff.). Der konkrete Streitwert ist pauschali- siert zu bestimmen, nämlich nach dem jeweils höchsten (bekannten) Wert aus den drei relevanten Kenngrössen von (i) nominellem Grundkapital, (ii) tatsächli- chem Jahresumsatz und (iii) tatsächlich vorhandenen Aktiva (OGer ZH LF200049 vom 11. Dezember 2020 E. IV./4.). In Bezug auf die Berufungsklägerin ist hier einzig das nominelle Grundkapital (Stammkapital) bekannt. Dieses beläuft sich gemäss Auszug aus dem Handelsregister des Kantons Zürich auf Fr. 20'000.– (act. 6). Damit ist der für eine Berufung erforderliche Streitwert gegeben.</w:t>
      </w:r>
    </w:p>
    <w:p>
      <w:r>
        <w:t>- 4 - 2.2. Gemäss Art. 310 ZPO kann mit der Berufung (a) die unrichtige Rechtsan- wendung und (b) die unrichtige Feststellung des Sachverhaltes geltend gemacht werden. Die Berufung ist innerhalb der Rechtsmittelfrist schriftlich, begründet und mit Rechtsmittelanträgen versehen einzureichen (Art. 311 ZPO). Neue Behaup- tungen und Beweismittel sind nur noch zulässig, wenn sie ohne Verzug vorge- bracht werden und trotz zumutbarer Sorgfalt nicht schon vor erster Instanz vorge- bracht werden konnten (Art. 317 Abs. 1 ZPO). 3.1. Beim Vorbringen der Berufungsklägerin, dass der Organisationsmangel mitt- lerweile behoben worden sei, handelt es sich um neue Tatsachen und Beweismit- tel. Wie dargelegt sind solche im Berufungsverfahren nur noch zulässig, wenn sie trotz zumutbarer Sorgfalt vor erster Instanz nicht vorgebracht werden konnten (Art. 317 Abs. 1 ZPO). Diese Voraussetzung ist hier nicht erfüllt. Die zur Behe- bung des Organisationsmangels notwendigen Unterlagen wurden dem Handels- registeramt von der Berufungsklägerin erst am 7. Juli 2025 eingereicht (act. 2 mit Verweis auf act. 5/3+4) und somit nachdem der angefochtene Entscheid vom 18. Juni 2025 ergangen ist. Die Berufungsklägerin macht geltend, ihre Geschäfts- tätigkeit nie eingestellt zu haben und immer erreichbar gewesen zu sein. Sie habe ihr Büro innerhalb desselben Objekts an eine neue Einheit verlegt. Es sei eine Mietvertragsänderung, aber kein effektiver Standortwechsel erfolgt. Aufgrund von postlogistischen Unregelmässigkeiten sei es zu Rückläufen gekommen, was fälschlich als Aufgabe des Domizils interpretiert worden sei (act. 2). Mit diesen Ausführungen vermag sie nicht darzulegen, weshalb der Organisationsmangel trotz zumutbarer Sorgfalt nicht bereits innert der von der Vorinstanz angesetzten Frist hätte behoben werden können. Die erst im Berufungsverfahren erhobenen Vorbringen zur Mängelbehebung und die vorgelegten Beweismittel sind somit ver- spätet. 3.2. Inzwischen bestätigte das Handelsregisteramt allerdings den Erhalt der zur Behebung des Mangels erforderlichen Unterlagen (act. 12) und die entspre- chende Mutation im Handelsregister wurde bereits vollzogen (act. 13). Das Bun- desgericht behandelt Eintragungen im Handelsregister mit deren Veröffentlichung im Schweizerischen Handelsamtsblatt (SHAB) als notorisch. Sie können dement-</w:t>
      </w:r>
    </w:p>
    <w:p>
      <w:r>
        <w:t>- 5 - sprechend von Amtes wegen berücksichtigt werden (vgl. BGer 5C.219/2006 vom 16. April 2007 E. 3.4 m.w.H.; siehe auch BGE 139 III 293 E. 3.3 m.w.H.). Auf- grund der Notorietät von Eintragungen im Handelsregister kann die inzwischen er- folgte Behebung des Mangels, welcher zur Anordnung der Liquidation der Beru- fungsklägerin nach den Vorschriften des Konkurses führte, im vorliegenden Beru- fungsverfahren somit trotz des an sich geltenden strengen Novenrechts berück- sichtigt werden. Eine diesbezügliche Sachverhaltsergänzung von Amtes wegen drängt sich hier umso mehr auf, als es sich beim nicht streitigen Organisations- mangelverfahren um eine Angelegenheit der freiwilligen Gerichtsbarkeit handelt (vgl. dazu DOMENIG/GÜR, Organisationsmangelverfahren nach Art. 731b und Art. 939 OR, in: AJP 2021 S. 168 ff., S. 172), mithin keine in ihren Interessen be- troffene Gegenpartei vorhanden ist, nach Wiederherstellung des rechtmässigen Zustandes kein Interesse der Öffentlichkeit oder der Gläubiger der Berufungsklä- gerin an einer Auflösung derselben nach den Vorschriften des Konkurses mehr besteht und dies auch aus ökonomischer Sicht nicht als sinnvoll erscheint. 3.3. Da vorliegend aus dem Handelsregister hervorgeht, dass der Mangel, wel- cher zur Anordnung der gerichtlichen Auflösung der Berufungsklägerin und deren Liquidation nach den Vorschriften des Konkurses geführt hat, inzwischen beho- ben wurde, sind aus heutiger Sicht die Voraussetzungen für eine gerichtliche Auf- lösung der Berufungsklägerin und eine Liquidation nach den Vorschriften des Konkurses gestützt auf Art. 731b Abs. 1bis OR nicht mehr gegeben. Insbesondere erscheint die sehr einschneidende und nur als ultima ratio vorgesehene Möglich- keit der gerichtlichen Auflösung der Berufungsklägerin und Liquidation nach den Vorschriften des Konkurses unter Berücksichtigung der seit dem Erlass des vorin- stanzlichen Entscheids entstandenen neuen Tatsachen nicht 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