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LF250036 vom 3. Juli 2025</w:t>
      </w:r>
    </w:p>
    <w:p>
      <w:r>
        <w:t>ZH Obergericht, 2025-07-03, DE</w:t>
      </w:r>
    </w:p>
    <w:p>
      <w:r>
        <w:rPr>
          <w:b/>
        </w:rPr>
        <w:t xml:space="preserve">Quelle: </w:t>
      </w:r>
      <w:r>
        <w:t>https://mcp.opencaselaw.ch/entscheid/zh_obergericht_LF250036</w:t>
      </w:r>
    </w:p>
    <w:p>
      <w:r>
        <w:t>FR: ZH_OBERGERICHT LF250036 du 3 juillet 2025</w:t>
      </w:r>
    </w:p>
    <w:p>
      <w:r>
        <w:t>IT: ZH_OBERGERICHT LF250036 del 3 luglio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Sachverhalt / Prozessgeschichte</w:t>
      </w:r>
    </w:p>
    <w:p>
      <w:r>
        <w:rPr>
          <w:b/>
        </w:rPr>
        <w:t>E. 1.1</w:t>
      </w:r>
    </w:p>
    <w:p>
      <w:r>
        <w:t>Am tt.mm.2024 verstarb C._____, geb. tt. November 1958, (nachfolgend: Erblasser) ledig (vgl. act. 7/4/1). Mit Eingabe vom 7. Januar 2025 bestellte die Schwester des Erblassers, B._____, beim Einzelgericht des Bezirksgerichtes Af- foltern (nachfolgend: Vorinstanz) einen Erbschein (Geschäfts-Nr. EM250004) (vgl. act. 8/1/1-2). Die Vorinstanz stellte ihr am 5. Februar 2025 einen auf sie als gesetzliche Alleinerbin lautenden Erbschein aus (act. 8/5).</w:t>
      </w:r>
    </w:p>
    <w:p>
      <w:r>
        <w:rPr>
          <w:b/>
        </w:rPr>
        <w:t>E. 1.2</w:t>
      </w:r>
    </w:p>
    <w:p>
      <w:r>
        <w:t>Mit Eingabe vom 17. Februar 2025 reichte die F._____ AG bei der Vorin- stanz ein eigenhändiges Testament des Erblassers vom 24. September 2024 so- wie zwei Testamentsentwürfe (soweit ersichtlich in Kopie) ein (act. 7/1/1-3 sowie act. 7/2).</w:t>
      </w:r>
    </w:p>
    <w:p>
      <w:r>
        <w:rPr>
          <w:b/>
        </w:rPr>
        <w:t>E. 1.3</w:t>
      </w:r>
    </w:p>
    <w:p>
      <w:r>
        <w:t>Mit Urteil vom 28. März 2025 (act. 7/9 = act. 3 = act. 6 [Aktenexemplar]) ent- schied die Vorinstanz wie folgt: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