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LF250020 vom 20. Mai 2025</w:t>
      </w:r>
    </w:p>
    <w:p>
      <w:r>
        <w:t>ZH Obergericht, 2025-05-20, DE</w:t>
      </w:r>
    </w:p>
    <w:p>
      <w:r>
        <w:rPr>
          <w:b/>
        </w:rPr>
        <w:t xml:space="preserve">Quelle: </w:t>
      </w:r>
      <w:r>
        <w:t>https://mcp.opencaselaw.ch/entscheid/zh_obergericht_LF250020</w:t>
      </w:r>
    </w:p>
    <w:p>
      <w:r>
        <w:t>FR: ZH_OBERGERICHT LF250020 du 20 mai 2025</w:t>
      </w:r>
    </w:p>
    <w:p>
      <w:r>
        <w:t>IT: ZH_OBERGERICHT LF250020 del 20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A.______,</w:t>
      </w:r>
    </w:p>
    <w:p>
      <w:r>
        <w:rPr>
          <w:b/>
        </w:rPr>
        <w:t>E. 2</w:t>
      </w:r>
    </w:p>
    <w:p>
      <w:r>
        <w:t>Diese Anordnung gemäss Ziff. 1 soll aufgrund besonderer Dring- lichkeit sofort und ohne Anhörung der Gegenpartei erfolgen.</w:t>
      </w:r>
    </w:p>
    <w:p>
      <w:r>
        <w:rPr>
          <w:b/>
        </w:rPr>
        <w:t>E. 3</w:t>
      </w:r>
    </w:p>
    <w:p>
      <w:r>
        <w:t>Alles unter Kosten- und Entschädigungsfolgen zuzüglich Mehr- wertsteuer zulasten der Gesuchsgegnerin." Urteil des Einzelgerichts: (act. 3 = act. 5 [Aktenexemplar] = act. 6/4)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