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LF250004 vom 18. Februar 2025</w:t>
      </w:r>
    </w:p>
    <w:p>
      <w:r>
        <w:t>ZH Obergericht, 2025-02-18, DE</w:t>
      </w:r>
    </w:p>
    <w:p>
      <w:r>
        <w:rPr>
          <w:b/>
        </w:rPr>
        <w:t xml:space="preserve">Quelle: </w:t>
      </w:r>
      <w:r>
        <w:t>https://mcp.opencaselaw.ch/entscheid/zh_obergericht_LF250004</w:t>
      </w:r>
    </w:p>
    <w:p>
      <w:r>
        <w:t>FR: ZH_OBERGERICHT LF250004 du 18 février 2025</w:t>
      </w:r>
    </w:p>
    <w:p>
      <w:r>
        <w:t>IT: ZH_OBERGERICHT LF250004 del 18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9. Januar 2025 nahm das Einzelgericht in Erbschaftssachen des Bezirksgerichts Winterthur (nachfolgend Vorinstanz) Vormerk von der gericht- lichen Eröffnung des Testaments vom 16. Juni 2023 der am tt.mm.2024 verstor- benen B._____ (act. 3).</w:t>
      </w:r>
    </w:p>
    <w:p>
      <w:r>
        <w:rPr>
          <w:b/>
        </w:rPr>
        <w:t>E. 2</w:t>
      </w:r>
    </w:p>
    <w:p>
      <w:r>
        <w:t>Dagegen erhob der Berufungskläger rechtzeitig (vgl. act. 6/4) Berufung (act. 2). Mit Verfügung vom 29. Januar 2025 wurde der Berufungskläger zur Leis- tung eines Kostenvorschusses von Fr. 2'500.– aufgefordert (act. 5). Mit Schreiben vom 8. Februar 2025 (Datum Poststempel) zog der Berufungskläger die Berufung zurück (act. 8). Das Verfahren ist entsprechend abzuschreiben.</w:t>
      </w:r>
    </w:p>
    <w:p>
      <w:r>
        <w:rPr>
          <w:b/>
        </w:rPr>
        <w:t>E. 3</w:t>
      </w:r>
    </w:p>
    <w:p>
      <w:r>
        <w:t>Der Klagerückzug entspricht einem Unterliegen im Prozess. Ausgangsge- mäss sind deshalb die Gerichtskosten des Rechtsmittelverfahrens dem Beru- fungskläger aufzuerlegen (Art. 106 Abs. 1 ZPO). Unter Berücksichtigung des ge- ringen Zeitaufwands des Gerichts und der Tatsache, dass das Verfahren ohne Anspruchsprüfung erledigt wird, ist die Entscheidgebühr für das Berufungsverfah- ren in Anwendung von § 4 Abs. 1 und 2, § 8 Abs. 1, § 10 Abs. 1 und § 12 Abs. 1 GebV OG auf Fr. 500.– festzusetzen. Es sind keine Parteientschädigung zuzu- 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