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LF240104 vom 7. November 2024</w:t>
      </w:r>
    </w:p>
    <w:p>
      <w:r>
        <w:t>ZH Obergericht, 2024-11-07, DE</w:t>
      </w:r>
    </w:p>
    <w:p>
      <w:r>
        <w:rPr>
          <w:b/>
        </w:rPr>
        <w:t xml:space="preserve">Quelle: </w:t>
      </w:r>
      <w:r>
        <w:t>https://mcp.opencaselaw.ch/entscheid/zh_obergericht_LF240104</w:t>
      </w:r>
    </w:p>
    <w:p>
      <w:r>
        <w:t>FR: ZH_OBERGERICHT LF240104 du 7 novembre 2024</w:t>
      </w:r>
    </w:p>
    <w:p>
      <w:r>
        <w:t>IT: ZH_OBERGERICHT LF240104 del 7 novembre 2024</w:t>
      </w:r>
    </w:p>
    <w:p>
      <w:pPr>
        <w:pStyle w:val="Heading2"/>
      </w:pPr>
      <w:r>
        <w:t>Erwägungen</w:t>
      </w:r>
    </w:p>
    <w:p>
      <w:r>
        <w:rPr>
          <w:b/>
        </w:rPr>
        <w:t>E. 1</w:t>
      </w:r>
    </w:p>
    <w:p>
      <w:r>
        <w:t>Der Gesuchsgegner und Berufungskläger des vorliegenden Verfahrens (fortan Berufungskläger) ist seit April 2022 Mieter einer 2.5-Zimmer-Wohnung an der C._____-str. 1 in D._____ zu einem monatlichen Mietzins von Fr. 1'646.– (act. 3/5-7). Weiter mietete er seit Mai 2022 den Einstellplatz Nr. 2 in der Einstellhalle C._____-str. 3/1/4 in D._____ zu einem monatlichen Mietzins von Fr. 104.– (act. 3/8-9). Am 29. Mai 2024 kündigte die Vermieterin (Gesuchstellerin und heutige Berufungsbeklagte; fortan Berufungsbeklagte) die vorerwähnten Mietverhältnisse wegen Zahlungsrückstands auf den 30. Juni 2024 (act. 3/15-16). Mit Eingabe vom 12. Juli 2024 machte sie sodann beim Einzelgericht im summarischen Verfahren des Bezirksgerichtes Dietikon (fortan Vorinstanz) mit den eingangs genannten Rechtsbegehren das Ausweisungsverfahren gegen den Berufungskläger anhän- gig (act. 1 und act. 3/1-19).</w:t>
      </w:r>
    </w:p>
    <w:p>
      <w:r>
        <w:rPr>
          <w:b/>
        </w:rPr>
        <w:t>E. 2</w:t>
      </w:r>
    </w:p>
    <w:p>
      <w:r>
        <w:t>Nach Eingang des der Berufungsbeklagten auferlegten Kostenvor- schusses (act. 4 und act. 6) wurden die Parteien am 31. Juli 2024 zur Hauptver-</w:t>
      </w:r>
    </w:p>
    <w:p>
      <w:r>
        <w:t>- 4 - handlung auf den 20. September 2024 vorgeladen (act. 7). Nach durchgeführter Hauptverhandlung, zu welcher nur der Berufungskläger erschienen war (Prot. VI S. 4), hiess die Vorinstanz in der Folge das Ausweisungsbegehren gut und erliess den eingangs wiedergegebenen Ausweisungsentscheid vom 25. September 2024 (act. 10 = act. 13). Dieser wurde dem Berufungskläger am 7. Oktober 2024 zuge- stellt (act. 11/2).</w:t>
      </w:r>
    </w:p>
    <w:p>
      <w:r>
        <w:rPr>
          <w:b/>
        </w:rPr>
        <w:t>E. 3</w:t>
      </w:r>
    </w:p>
    <w:p>
      <w:r>
        <w:t>Dagegen erhob der Berufungskläger mit Eingabe vom 16. Oktober 2024 (Poststempel) rechtzeitig Berufung bei der hiesigen Instanz (act. 14 und Bei- lagen act. 16/1-3).</w:t>
      </w:r>
    </w:p>
    <w:p>
      <w:r>
        <w:rPr>
          <w:b/>
        </w:rPr>
        <w:t>E. 4</w:t>
      </w:r>
    </w:p>
    <w:p>
      <w:r>
        <w:t>Mit diesen Ausführungen in der Berufungsschrift genügt die Berufung den vorerwähnten Anforderungen an die Begründungslast (vgl. Ziff. II.1) nicht. Der Berufungskläger setzt sich mit den Erwägungen der Vorinstanz bezüglich der Gründe für die Ausweisung (Weiterbenutzung des Mietobjektes trotz gültiger Kün- digung) mit keinem Wort auseinander und legt in der Berufungsschrift nicht an- satzweise dar, weshalb der angefochtene Entscheid seiner Auffassung nach un- richtig sein soll. Damit kommt der Berufungskläger seiner Begründungsobliegen- heit nicht nach, weshalb auf die Berufung nicht einzutreten ist.</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10'500.–. Die Beschwerde an das Bundesgericht hat keine aufschiebende Wirkung.</w:t>
      </w:r>
    </w:p>
    <w:p>
      <w:r>
        <w:t>- 8 - Obergericht des Kantons Zürich II. Zivilkammer i.V. Der Gerichtsschreiber: MLaw F. Wüst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