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LF240103 vom 18. Dezember 2024</w:t>
      </w:r>
    </w:p>
    <w:p>
      <w:r>
        <w:t>ZH Obergericht, 2024-12-18, DE</w:t>
      </w:r>
    </w:p>
    <w:p>
      <w:r>
        <w:rPr>
          <w:b/>
        </w:rPr>
        <w:t xml:space="preserve">Quelle: </w:t>
      </w:r>
      <w:r>
        <w:t>https://mcp.opencaselaw.ch/entscheid/zh_obergericht_LF240103</w:t>
      </w:r>
    </w:p>
    <w:p>
      <w:r>
        <w:t>FR: ZH_OBERGERICHT LF240103 du 18 décembre 2024</w:t>
      </w:r>
    </w:p>
    <w:p>
      <w:r>
        <w:t>IT: ZH_OBERGERICHT LF240103 del 18 dicembre 2024</w:t>
      </w:r>
    </w:p>
    <w:p>
      <w:pPr>
        <w:pStyle w:val="Heading2"/>
      </w:pPr>
      <w:r>
        <w:t>Erwägungen</w:t>
      </w:r>
    </w:p>
    <w:p>
      <w:r>
        <w:rPr>
          <w:b/>
        </w:rPr>
        <w:t>E. 1.1</w:t>
      </w:r>
    </w:p>
    <w:p>
      <w:r>
        <w:t>Am tt.mm.2024 starb E._____ (nachfolgend: Erblasserin) in G._____ ZH (act. 4/1). Die Erblasserin hinterlässt einen Sohn (den Beschwerdeführer) und die Nachkommen ihrer vorverstorbenen Tochter, H._____, die Beschwerdegegner 1 bis 3.</w:t>
      </w:r>
    </w:p>
    <w:p>
      <w:r>
        <w:rPr>
          <w:b/>
        </w:rPr>
        <w:t>E. 1.2</w:t>
      </w:r>
    </w:p>
    <w:p>
      <w:r>
        <w:t>Am 11. April 2024 liess der Beschwerdeführer dem Einzelgericht in Erb- schaftssachen des Bezirksgerichts Horgen (nachfolgend: Vorinstanz) einen zwi- schen der Erblasserin, ihrem vorverstorbenen Ehemann I._____ und H._____ ab- geschlossenen Erbvertrag (Erbauskauf) vom 12. September 1996 zukommen (act. 1).</w:t>
      </w:r>
    </w:p>
    <w:p>
      <w:r>
        <w:rPr>
          <w:b/>
        </w:rPr>
        <w:t>E. 1.3</w:t>
      </w:r>
    </w:p>
    <w:p>
      <w:r>
        <w:t>Mit Urteil vom 12. September 2024 eröffnete die Vorinstanz – soweit vorlie- gend interessierend – den Erbvertrag (Erbauskauf) amtlich (Dispositiv-Ziff. 1). Sie stellte fest, dass die Erblasserin die in Ziffer I der Erwägungen erwähnten gesetz- lichen Erben (den Beschwerdeführer sowie die Beschwerdegegner 1 bis 3) hinter- lassen habe (Dispositiv-Ziff. 3). Auf die gesetzlichen Erben 1 – 4 werde auf schrift- liches Verlangen eine Erbenbescheinigung ausgestellt, sofern dagegen nicht bin- nen Monatsfrist seit Zustellung des Urteils Einsprache bei der Vorinstanz im Sinne von Art. 559 Abs. 1 ZGB erhoben werde (Dispositiv-Ziff. 4). Die Erbteilung sei Sa- che der gesetzlichen Erben (Dispositiv-Ziff. 5, act. 5 = act. 12 [Aktenexemplar] = act. 14).</w:t>
      </w:r>
    </w:p>
    <w:p>
      <w:r>
        <w:rPr>
          <w:b/>
        </w:rPr>
        <w:t>E. 1.4</w:t>
      </w:r>
    </w:p>
    <w:p>
      <w:r>
        <w:t>Mit Eingabe vom 9. Oktober 2024 (Poststempel gleichentags) erhob der Beschwerdeführer dagegen ein als "Berufung" betiteltes Rechtsmittel mit folgen- den Anträgen (act. 13): "1. Es sei Ziffer 4 des Dispositivs des Urteils des Bezirksgerichts Hor- gen vom 12. September 2024 (Geschäftsnummer EL240149) wie folgt abzuändern: Auf den gesetzlichen Erben 4 wird auf schriftli- ches Verlangen eine Erbbescheinigung ausgestellt, sofern dage- gen nicht binnen Monatsfrist seit Zustellung dieses Urteils durch schriftliche Eingabe an das Einzelgericht in Erbschaftssachen des Bezirkes Horgen Einsprache im Sinne von Art. 559 Abs. 1 ZGB erhoben wird.</w:t>
      </w:r>
    </w:p>
    <w:p>
      <w:r>
        <w:t>- 3 -</w:t>
      </w:r>
    </w:p>
    <w:p>
      <w:r>
        <w:rPr>
          <w:b/>
        </w:rPr>
        <w:t>E. 1.5</w:t>
      </w:r>
    </w:p>
    <w:p>
      <w:r>
        <w:t>Die vorinstanzlichen Akten wurden von Amtes wegen beigezogen (act. 1 - 10). Mit Verfügung vom 28. Oktober 2024 wurde dem Beschwerdeführer Frist zur Leistung eines Kostenvorschusses angesetzt, der fristgerecht bei der Obergerichtskasse einging (act. 16 i.V.m. act. 19). Am 7. November 2024 erkun- digte sich Herr J._____, der den Beschwerdeführer berät, telefonisch beim Ober- gericht, inwiefern der Erbauskauf bei der Berechnung des Streitwerts berücksich- tigt worden sei. Herr J._____ wurde auf die Erwägung 2.2. der Verfügung vom 28. Oktober 2024 verwiesen (act. 18). Mit Verfügung vom 11. November 2024 wurde den Beschwerdegegnern 1 bis 3 Frist zur Beschwerdeantwort angesetzt (act. 20). Eine Beschwerdeantwort ging nicht ein. Das Verfahren erweist sich als spruchreif. 2.</w:t>
      </w:r>
    </w:p>
    <w:p>
      <w:r>
        <w:rPr>
          <w:b/>
        </w:rPr>
        <w:t>E. 2</w:t>
      </w:r>
    </w:p>
    <w:p>
      <w:r>
        <w:t>Es sei Ziff. 5 des Dispositivs des Urteils des Bezirksgerichts Hor- gen vom 12. September 2024 (Geschäftsnummer EL240149) wie folgt abzuändern: "Die Erbteilung ist Sache des gesetzlichen Er- ben 4."</w:t>
      </w:r>
    </w:p>
    <w:p>
      <w:r>
        <w:rPr>
          <w:b/>
        </w:rPr>
        <w:t>E. 2.1</w:t>
      </w:r>
    </w:p>
    <w:p>
      <w:r>
        <w:t>Bei der Eröffnung letztwilliger Verfügungen handelt es sich um eine erb- rechtliche Sicherungsmassregel und das entsprechende Verfahren gehört zu den Angelegenheiten der freiwilligen bzw. nichtstreitigen Gerichtsbarkeit, welche der Kanton Zürich dem Einzelgericht im summarischen Verfahren zugewiesen hat (vgl. Art. 556 i.V.m. Art. 551 Abs. 1 ZGB und Art. 54 Abs. 1 SchlT ZGB, § 24 lit. c und § 137 lit. c GOG i.V.m. Art. 248 lit. e ZPO). In zweiter Instanz wandelt sich das Testaments- bzw. Erbvertragseröffnungsverfahren in eine vermögensrechtli- che streitige Angelegenheit (OGer ZH LF140076 vom 13. Oktober 2014 E. 7; LF130039 vom 27. Juni 2013 E. 5). Im vorliegenden Verfahren beträgt der Streit- wert Fr. 7'000.–, weshalb die Beschwerde das zulässige Rechtsmittel ist und das eingereichte Rechtsmittel als solche entgegenzunehmen ist (vgl. act. 16 E. 2.1.).</w:t>
      </w:r>
    </w:p>
    <w:p>
      <w:r>
        <w:t>- 4 -</w:t>
      </w:r>
    </w:p>
    <w:p>
      <w:r>
        <w:rPr>
          <w:b/>
        </w:rPr>
        <w:t>E. 2.2</w:t>
      </w:r>
    </w:p>
    <w:p>
      <w:r>
        <w:t>Eine Beschwerde ist innerhalb der Rechtsmittelfrist schriftlich und begründet einzureichen (Art. 321 ZPO). Aus der Begründungslast ergibt sich, dass die Be- schwerde zudem Rechtsmittelanträge zu enthalten hat. Dabei reicht es bei Laien aus, wenn sich aus den Anträgen in Verbindung mit der Begründung zumindest mit gutem Willen herauslesen lässt, in welchem Umfang oder in welchen Punkten der vorinstanzliche Entscheid angefochten wird. In seiner Beschwerdeschrift macht der Beschwerdeführer zusammengefasst geltend, der Erbverzicht von H._____ gemäss Ziffer II des Erbvertrags (Erbauskauf) wirke auch gegenüber den Beschwerdegegnern 1 bis 3, weshalb diese nicht Erben der Erblasserin seien. Aus dieser Begründung ergibt sich, dass der Beschwerdeführer zusätzlich zu den Dispositiv-Ziffern 4 und 5 auch Dispositiv-Ziffer 3 anficht. Er möchte, dass festge- stellt wird, dass die Erblasserin ihn als einzigen gesetzlichen Erben hinterlassen habe. 3.</w:t>
      </w:r>
    </w:p>
    <w:p>
      <w:r>
        <w:rPr>
          <w:b/>
        </w:rPr>
        <w:t>E. 3</w:t>
      </w:r>
    </w:p>
    <w:p>
      <w:r>
        <w:t>Eventualiter zu den vorstehenden Ziff. 2 und 3 sei die Sache zur Neubeurteilung an die Vorinstanz zurückzuweisen.</w:t>
      </w:r>
    </w:p>
    <w:p>
      <w:r>
        <w:rPr>
          <w:b/>
        </w:rPr>
        <w:t>E. 3.1</w:t>
      </w:r>
    </w:p>
    <w:p>
      <w:r>
        <w:t>Im angefochtenen Entscheid erwog die Vorinstanz, die Erblasserin habe als gesetzliche Erben den Beschwerdeführer sowie anstelle der vorverstorbenen H._____ die Beschwerdegegner 1 bis 3 hinterlassen (act. 12 E. I.2.). Die proviso- rische Auslegung des Erbvertrags (Erbauskauf) ergebe, dass die Erblasserin we- der gesetzliche Erben von der Erbschaft ausgeschlossen, noch weitere Erben ein- gesetzt habe. Im Übrigen verwies die Vorinstanz auf den Wortlaut des Erbver- trags (Erbauskauf [act. 12 E. II.2).</w:t>
      </w:r>
    </w:p>
    <w:p>
      <w:r>
        <w:rPr>
          <w:b/>
        </w:rPr>
        <w:t>E. 3.2</w:t>
      </w:r>
    </w:p>
    <w:p>
      <w:r>
        <w:t>Dem hält der Beschwerdeführer entgegen, mit dem Erbvertrag (Erbauskauf) habe H._____ für sich und ihre Nachkommen auf das ihr am dereinstigen Nach- lass der Eltern zustehende Erb- und Pflichtteilsrecht verzichtet. Es sei vereinbart worden, dass H._____ im Nachlass ihrer Eltern, somit auch in jenem der Erblas- serin, als Erbin ausser Betracht falle. Da der Verzicht auch für den Nachwuchs gelte und die Erblasserin keine letztwillige Verfügung hinterlassen habe, in wel- cher H._____ und/oder die Beschwerdegegner 1 bis 3 als Erben eingesetzt oder sonst wie begünstigt worden seien, komme den Beschwerdegegnern 1 bis 3 im Nachlass der Erblasserin keine Erbenstellung zu.</w:t>
      </w:r>
    </w:p>
    <w:p>
      <w:r>
        <w:t>- 5 - Im Erbgang des Vaters, der 1998 gestorben sei, habe das Bezirksgericht Horgen die Ausstellung einer Erbbescheinigung an H._____ nicht in Aussicht ge- stellt. Im Erbschein sei sodann festgehalten worden, dass H._____ im Erbvertrag vom 12. September 1996 auf den ihr zustehenden Erbteil verzichtet habe, wes- halb die gesetzlichen Erben (die Mutter [Erblasserin], der Beschwerdeführer so- wie der Bruder) als Universalerben zu gelten hätten (m.V.a. act. 15/1 f.). Ein Re- kurs bzw. eine erbrechtliche Klage sei nicht erhoben worden und die Erbteilung im Nachlass des Vaters sei ohne Beteiligung von H._____ vorgenommen worden. Weshalb im Erbgang der Mutter eine andere Auslegung des gleichen Erbvertrags gelten solle, sei nicht ersichtlich. Die Vorinstanz habe Art. 495 ZGB falsch angewendet und zudem sein recht- liches Gehör verletzt, indem sie die Abweichung von der klaren gesetzlichen Re- gelung, der Gerichtspraxis und der Lehre nicht begründet habe. Abschliessend bringt der Beschwerdeführer vor, die vorinstanzliche Auslegung ergebe keinerlei Sinn, da der Erbauskauf erwähnt werde, jedoch völlig logikfrei darauf geschlossen werde, dass keine gesetzlichen Erben von der Erbschaft ausgeschlossen seien. Ein Erbausverkauf bewirke jedoch genau den Ausschluss der verzichtenden ge- setzlichen Erben von der Erbschaft (act. 13).</w:t>
      </w:r>
    </w:p>
    <w:p>
      <w:r>
        <w:rPr>
          <w:b/>
        </w:rPr>
        <w:t>E. 3.3</w:t>
      </w:r>
    </w:p>
    <w:p>
      <w:r>
        <w:t>Letztwillige Verfügungen sind nach Art. 556 ff. ZGB zu eröffnen. Gemäss ständiger Zürcher Praxis werden auch Erbverträge im Sinne von Art. 557 ZGB amtlich eröffnet. Die Eröffnung nach Art. 556 ff. ZGB dient der Bekanntgabe des Inhalts der letztwilligen Verfügung und der Einräumung einer Kontrollmöglichkeit an die betroffenen Personen, um sich vom Inhalt und Zustand der Urkunde selbst ein Bild zu machen (BSK ZGB II-LEU/GABRIELI, 7. Aufl. 2023, Art. 557 N 2 f.). Dazu hat das Eröffnungsgericht die Erben zu ermitteln, damit sie von der letztwilli- gen Verfügung Kenntnis nehmen und in der Folge ihre Rechte wahren können. So ist im Hinblick auf die nach Art. 559 ZGB auszustellende Erbbescheinigung insbesondere zu bestimmen, wer nach dem Wortlaut des Testaments bzw. des Erbvertrags als Erbe zu gelten hat. Diese Auslegung hat aber immer nur provisori- schen Charakter und keine materiell-rechtliche Wirkung. Mit anderen Worten ent- scheidet das Eröffnungsgericht nicht über die Gültigkeit eines Testamentes bzw.</w:t>
      </w:r>
    </w:p>
    <w:p>
      <w:r>
        <w:t>- 6 - eines Erbvertrags und die definitive Ordnung der Rechtsverhältnisse; dies bleibt im Streitfall dem anzurufenden ordentlichen Gericht vorbehalten (statt vieler: ZR 77 Nr. 131, ZR 82 Nr. 66 und ZR 84 Nr. 90; BSK ZGB II-LEU/GABRIELI, 7. Aufl. 2023, Vor Art. 551-559 N 10 und Art. 557 N 11 je m.w.H.). Daher prüft die Kam- mer nach ständiger Praxis im Rechtsmittelverfahren einzig, ob das Eröffnungsge- richt in diesem beschränkten Rahmen zutreffend vorgegangen ist (vgl. statt vieler: OGer ZH LF110058 vom 14. Juli 2011 E. 2.2 und LF110047 vom 27. Juli 2011 E. 3.2). Art. 495 ZGB sieht vor, dass ein Erblasser mit einem Erben einen Erbver- zichtvertrag oder Erbauskauf abschliessen kann (Abs. 1), dass der Verzichtende sodann beim Erbgang ausser Betracht fällt (Abs. 2) und dass der Erbverzicht auch gegenüber Nachkommen des Verzichtenden wirkt, wo der Vertrag nicht et- was anderes anordnet (Abs. 3).</w:t>
      </w:r>
    </w:p>
    <w:p>
      <w:r>
        <w:rPr>
          <w:b/>
        </w:rPr>
        <w:t>E. 3.4</w:t>
      </w:r>
    </w:p>
    <w:p>
      <w:r>
        <w:t>Vorliegend ist zu prüfen, ob die Vorinstanz im Sinne einer vorläufigen Ausle- gung des Erbvertrags (Erbauskauf) davon ausgehen durfte, dass die Beschwer- degegner 1 bis 3 von der Erbschaft der Erblasserin nicht ausgeschlossen wurden. Ziffer II des Erbvertrags (Erbauskauf) lautet wie folgt (vgl. act. 12 S. 8): "H._____ verzichtet hiermit im Sinne von Art. 495 des Schweizerischen Zivilgesetzbuches (ZGB) für sich und ihre Nachkommen auf das ihr am dereinstigen Nachlass ihrer Mutter E._____ zustehende Erb- und Pflichtteilsrecht. Sie fällt beim Erbgang als deren Erbin ausser Betracht (…)." Der Wortlaut von Ziffer II ist klar: H._____ verzichtet sowohl für sich als auch – was vorliegend von Relevanz ist – für ihre Nachkommen vollständig auf ihr Erb- und Pflichtteilsrecht am Nachlass der Erblasserin. Von der gesetzlichen Vermu- tung in Art. 495 Abs. 3 ZGB wird nicht abgewichen, sondern die Wirkung gegen- über den Nachkommen wurde explizit vereinbart. Hinweise dafür, dass der Wort- laut nur scheinbar klar sei, liegen keine vor. Die Beschwerdegegner 1 bis 3 fallen deshalb beim Erbgang der Erblasserin ausser Betracht bzw. sind keine Erben (BK ZGB-WEIMAR, 2009, Art. 495 N 11; SHK-Commentaire du droit des successions, BERGAMELLI/COTTI, 2. Aufl. 2023, Art. 495 N 10). Die Beschwerdegegner 1 bis 3 sind nicht als gesetzliche Erben der Erblasserin aufzuführen (vgl. ZBGR 48/1967,</w:t>
      </w:r>
    </w:p>
    <w:p>
      <w:r>
        <w:t>- 7 - 273 ff., 274) und haben keinen Anspruch auf Ausstellung eines Erbscheins (vgl. BGer 5A_757/2016 vom 31. August 2017 E. 3.3.2. m.w.H.). Der vorläufigen Aus- legung der Vorinstanz kann daher nicht gefolgt werden. Der Beschwerdeführer ist Alleinerbe. Nach dem Gesagten ist die Beschwerde vollumfänglich gutzuheissen und die Dispositiv-Ziffern 3 bis 5 sind aufzuheben und entsprechend zu ersetzen.</w:t>
      </w:r>
    </w:p>
    <w:p>
      <w:r>
        <w:rPr>
          <w:b/>
        </w:rPr>
        <w:t>E. 4</w:t>
      </w:r>
    </w:p>
    <w:p>
      <w:r>
        <w:t>Es seien die Kosten des Berufungsverfahrens auf die Gerichts- kasse zu nehmen und es sei dem Berufungskläger eine ange- messene Prozessentschädigung, eventualiter eine angemessene Umtriebsentschädigung zulasten der Gerichtskasse zuzuspre- chen."</w:t>
      </w:r>
    </w:p>
    <w:p>
      <w:r>
        <w:rPr>
          <w:b/>
        </w:rPr>
        <w:t>E. 4.1</w:t>
      </w:r>
    </w:p>
    <w:p>
      <w:r>
        <w:t>Mit der (teilweisen) Aufhebung des vorinstanzlichen Entscheids obsiegt der Beschwerdeführer im Beschwerdeverfahren, weshalb ihm keine Kosten aufzuerle- gen sind. Allerdings haben auch die Berufungsbeklagten 1 bis 3 die Kosten des Verfahrens nicht verursacht und sich zudem im vorliegenden Beschwerdeverfah- ren nicht mit dem angefochtenen Entscheid identifiziert. Die Entscheidgebühr für das Berufungsverfahren fällt deshalb ausser Ansatz (Art. 107 Abs. 2 ZPO). Dem Beschwerdeführer wird der von ihm geleistete Kostenvorschuss zurückerstattet, unter Vorbehalt eines allfälligen Verrechnungsanspruchs.</w:t>
      </w:r>
    </w:p>
    <w:p>
      <w:r>
        <w:rPr>
          <w:b/>
        </w:rPr>
        <w:t>E. 4.2</w:t>
      </w:r>
    </w:p>
    <w:p>
      <w:r>
        <w:t>Nachdem es für eine Entschädigungspflicht des Staates an einer gesetzli- chen Grundlage fehlt, ist auch keine Umtriebsentschädigung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