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LF240090 vom 18. September 2024</w:t>
      </w:r>
    </w:p>
    <w:p>
      <w:r>
        <w:t>ZH Obergericht, 2024-09-18, DE</w:t>
      </w:r>
    </w:p>
    <w:p>
      <w:r>
        <w:rPr>
          <w:b/>
        </w:rPr>
        <w:t xml:space="preserve">Quelle: </w:t>
      </w:r>
      <w:r>
        <w:t>https://mcp.opencaselaw.ch/entscheid/zh_obergericht_LF240090</w:t>
      </w:r>
    </w:p>
    <w:p>
      <w:r>
        <w:t>FR: ZH_OBERGERICHT LF240090 du 18 septembre 2024</w:t>
      </w:r>
    </w:p>
    <w:p>
      <w:r>
        <w:t>IT: ZH_OBERGERICHT LF240090 del 18 settembre 2024</w:t>
      </w:r>
    </w:p>
    <w:p>
      <w:pPr>
        <w:pStyle w:val="Heading2"/>
      </w:pPr>
      <w:r>
        <w:t>Erwägungen</w:t>
      </w:r>
    </w:p>
    <w:p>
      <w:r>
        <w:rPr>
          <w:b/>
        </w:rPr>
        <w:t>E. 30</w:t>
      </w:r>
    </w:p>
    <w:p>
      <w:r>
        <w:t>Mai 2024 forderte die Vorinstanz die Gesuchstellerin auf, die Gegenpartei ge- nau zu bezeichnen und den Streitwert des Herausgabebegehrens zu beziffern (act. 4 und act. 8 f.). Die Gesuchstellerin kam dieser Aufforderung mit Eingabe vom 10. Juni 2024 nach (act. 10). Zuvor nahm der Gesuchsgegner mit Eingabe vom 3. Juni 2024 unaufgefordert Stellung zur vorgenannten Verfügung (act. 6). Daraufhin wurde dem Gesuchsgegner mit Verfügung vom 18. Juni 2024 Frist zur Stellungnahme angesetzt (act. 10). Mit Eingabe vom 24. Juni 2024 nahm der Ge- suchsgegner fristgerecht Stellung (act. 12). Mit Urteil vom 15. August 2024 hiess die Vorinstanz das Herausgabebegehren gut. Zugleich wurde die zuständige Be- hörde angewiesen, den Herausgabefehl auf Verlangen der Gesuchstellerin zu vollstrecken (act. 17 = act. 20 = act. 22; fortan act. 20).</w:t>
      </w:r>
    </w:p>
    <w:p>
      <w:r>
        <w:t>- 3 - 1.4. Mit Eingabe vom 29. August 2024 (Datum Poststempel) erhob der Ge- suchsgegner fristgerecht Berufung gegen das vorinstanzliche Urteil (act. 21; zur Rechtzeitigkeit s. act. 18b). Die vorinstanzlichen Akten wurden von Amtes wegen beigezogen (act. 1 – 18). Das Verfahren ist spruchreif. 2. Im Berufungsverfahren können die unrichtige Rechtsanwendung und die unrichtige Feststellung des Sachverhaltes geltend gemacht werden (Art. 310 ZPO). Die Berufung ist innerhalb der Rechtsmittelfrist schriftlich, begrün- det und mit Rechtsmittelanträgen versehen einzureichen (Art. 311 ZPO). Bei Rechtsmitteleingaben von Laien genügt als Antrag eine Formulierung, aus der sich mit gutem Willen herauslesen lässt, wie die Berufungsinstanz entscheiden soll. Zur Begründung reicht aus, wenn auch nur ganz rudimentär zum Ausdruck kommt, an welchen Mängeln der angefochtene Entscheid leidet bzw. weshalb der angefochtene Entscheid nach Auffassung der die Berufung führenden Partei un- richtig sein soll. Dies setzt voraus, dass sich die Partei mit dem angefochtenen Entscheid auseinandersetzt. Sind auch diese Voraussetzungen nicht gegeben, ist auf die Berufung nicht einzutreten. Neue Tatsachen und Beweismittel sind im Be- rufungsverfahren grundsätzlich nur zuzulassen, wenn sie (a) ohne Verzug vorge- bracht werden und (b) trotz zumutbarer Sorgfalt nicht schon vor erster Instanz vorgebracht werden konnten (Art. 317 ZPO). 3. Die Vorinstanz begründete ihren Entscheid zusammengefasst damit, dass die Gesuchstellerin – auch nach Abschluss der Leasingverträge – Eigentümerin der streitgegenständlichen Fahrzeuge samt Zubehör geblieben sei. Der Gesuchs- gegner habe das Fahrzeug unbestrittenermassen zu sich nach D._____ genom- men. Dabei habe er weder aus den vereinbarten Leasingverträgen noch aus der Solidarbürgschafts- oder der Teilzahlungsvereinbarung einen Besitzesanspruch. Der Gesuchsgegner sei darin jeweils lediglich als finanzielle Absicherung berück- sichtigt, aber nie als Leasingnehmer oder sonstiger Besitzer der Fahrzeuge. Ein Recht auf Besitz oder Eigentum an den streitgegenständlichen Fahrzeugen be- haupte der Gesuchsgegner sodann auch nicht. Ohnehin bestehe aber spätestens seit dem unbestrittenen Zahlungsverzug der Ratenzahlungen ab März 2024 selbst unter der Teilzahlungsvereinbarung vom 20. März 2024 kein Anspruch des Ge-</w:t>
      </w:r>
    </w:p>
    <w:p>
      <w:r>
        <w:t>- 4 - suchsgegners mehr auf Besitz der Fahrzeuge. Da er somit ohne Rechtsgrund über die Leasingobjekte verfüge, könne die Gesuchstellerin als Eigentümerin diese von ihm gestützt auf Art. 641 Abs. 2 ZGB verlangen (act. 20 E. 4.2 f.). 4. Der Gesuchsgegner setzt sich in seiner Berufung nicht mit den vorstehen- den Erwägungen auseinander und zeigt auch nicht auf, an welchen Mängeln der vorinstanzliche Entscheid leiden soll. Vielmehr wiederholt er fast wörtlich seinen bereits im vorinstanzlichen Verfahren vorgebrachten Standpunkt in Bezug auf die – für das vorliegende Verfahren irrelevante (vgl. bereits act. 20 E. 4.4.) – Haf- tungsfrage (act. 21 S. 2 Absätze 1 – 4; vgl. bereits act. 12 S. 1). Zudem bringt er im Berufungsverfahren erstmalig vor, dass die Leasinggegenstände überhaupt nicht mehr vorhanden seien (act. 21 S. 2 5. Absatz). Weshalb er diese Behaup- tung nicht bereits im vorinstanzlichen Verfahren hat vorbringen können, bleibt of- fen. Entsprechend ist davon auszugehen, dass es sich um eine neue Tatsachen- behauptung handelt, welche die Voraussetzungen gemäss Art. 317 ZPO nicht er- füllt, und folglich nicht zu beachten ist. Dies genügt den – auch unter Berücksichti- gung der für juristische Laien herabgesetzten – Anforderungen an die Begrün- dung einer Berufung nicht. Damit kommt der Gesuchsgegner seiner Begrün- dungspflicht nicht nach, und auf die Berufung ist entsprechend nicht einzutreten. 5. Ausgangsgemäss wird der Gesuchsgegner kostenpflichtig (Art. 106 Abs. 1 ZPO). Ausgehend von einem Streitwert von CHF 29'500.– (vgl. act. 20 E. 7.1.) und in Anwendung von § 12 Abs. 1 und 2 i.V.m. § 4 Abs. 1 und 2, § 8 Abs. 1 sowie § 10 Abs. 1 GebV OG ist die Entscheidgebühr für das Berufungsver- fahren auf CHF 800.– festzusetzen. Parteienschädigungen sind keine zuzuspre- chen; dem Gesuchsgegner nicht, weil er mit seiner Berufung unterliegt, der Ge- suchstellerin nicht, weil ihr im Zusammenhang mit dem Berufungsverfahren keine Umtriebe entstanden sind.</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