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LF240066 vom 20. August 2024</w:t>
      </w:r>
    </w:p>
    <w:p>
      <w:r>
        <w:t>ZH Obergericht, 2024-08-20, DE</w:t>
      </w:r>
    </w:p>
    <w:p>
      <w:r>
        <w:rPr>
          <w:b/>
        </w:rPr>
        <w:t xml:space="preserve">Quelle: </w:t>
      </w:r>
      <w:r>
        <w:t>https://mcp.opencaselaw.ch/entscheid/zh_obergericht_LF240066</w:t>
      </w:r>
    </w:p>
    <w:p>
      <w:r>
        <w:t>FR: ZH_OBERGERICHT LF240066 du 20 août 2024</w:t>
      </w:r>
    </w:p>
    <w:p>
      <w:r>
        <w:t>IT: ZH_OBERGERICHT LF240066 del 20 agosto 2024</w:t>
      </w:r>
    </w:p>
    <w:p>
      <w:pPr>
        <w:pStyle w:val="Heading2"/>
      </w:pPr>
      <w:r>
        <w:t>Erwägungen</w:t>
      </w:r>
    </w:p>
    <w:p>
      <w:r>
        <w:rPr>
          <w:b/>
        </w:rPr>
        <w:t>E. 2</w:t>
      </w:r>
    </w:p>
    <w:p>
      <w:r>
        <w:t>Im Berufungsverfahren können die unrichtige Rechtsanwendung und die unrichtige Feststellung des Sachverhaltes geltend gemacht werden (Art. 310 ZPO). Die Berufung ist innerhalb der Rechtsmittelfrist schriftlich, begrün- det und mit Rechtsmittelanträgen versehen einzureichen (Art. 311 ZPO). Bei Rechtsmitteleingaben von Laien genügt als Antrag eine Formulierung, aus der sich mit gutem Willen herauslesen lässt, wie die Berufungsinstanz entscheiden soll. Zur Begründung reicht aus, wenn auch nur ganz rudimentär zum Ausdruck kommt, an welchen Mängeln der angefochtene Entscheid leidet bzw. weshalb der angefochtene Entscheid nach Auffassung der die Berufung führenden Partei un- richtig sein soll. Dies setzt eine Auseinandersetzung mit dem angefochtenen Ent-</w:t>
      </w:r>
    </w:p>
    <w:p>
      <w:r>
        <w:t>- 3 - scheid voraus. Sind auch diese Voraussetzungen nicht gegeben, ist auf die Beru- fung nicht einzutreten.</w:t>
      </w:r>
    </w:p>
    <w:p>
      <w:r>
        <w:rPr>
          <w:b/>
        </w:rPr>
        <w:t>E. 3</w:t>
      </w:r>
    </w:p>
    <w:p>
      <w:r>
        <w:t>Abgesehen von der Überschrift nimmt die Gesuchstellerin in ihrer Ein- gabe vom 21. Juni 2024 keinen Bezug zum vorinstanzlichen Entscheid. Sie unter- lässt es, sich mit den Erwägungen der Vorinstanz auseinanderzusetzen und auf- zuzeigen, an welchen Mängeln der vorinstanzliche Entscheid leiden soll. Sie macht vielmehr (erneut) lediglich Ausführungen zu einem Konkursverfahren und dem damals zuständigen Richter. Den vorinstanzlichen Erwägungen in der Sache (insbesondere act. 9 E. 4) hält sie nichts entgegen, sondern führt einzig aus, die Schuldbriefe hätten keine Schulden (act. 10 S. 3 oben). Dies genügt den – auch unter Berücksichtigung der für juristische Laien herabgesetzten – Anforderungen an die Begründung einer Berufung nicht. Damit kommt die Gesuchstellerin ihrer Begründungsobliegenheit nicht nach, und auf die Berufung ist entsprechend nicht einzutreten. 4.1. Umständehalber sind für das Berufungsverfahren keine Kosten zu erhe- ben. Parteientschädigungen sind keine zuzusprechen. 4.2. Aufgrund des Ausgangs des Berufungsverfahrens erweist sich das Ge- such der Gesuchstellerin um Gewährung der unentgeltlichen Rechtspflege samt Verbeiständung von vornherein als aussichtslos, weshalb es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