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LF240041 vom 27. Mai 2024</w:t>
      </w:r>
    </w:p>
    <w:p>
      <w:r>
        <w:t>ZH Obergericht, 2024-05-27, DE</w:t>
      </w:r>
    </w:p>
    <w:p>
      <w:r>
        <w:rPr>
          <w:b/>
        </w:rPr>
        <w:t xml:space="preserve">Quelle: </w:t>
      </w:r>
      <w:r>
        <w:t>https://mcp.opencaselaw.ch/entscheid/zh_obergericht_LF240041</w:t>
      </w:r>
    </w:p>
    <w:p>
      <w:r>
        <w:t>FR: ZH_OBERGERICHT LF240041 du 27 mai 2024</w:t>
      </w:r>
    </w:p>
    <w:p>
      <w:r>
        <w:t>IT: ZH_OBERGERICHT LF240041 del 27 maggio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Mit Verfügung vom 9. April 2024 (Teilentscheid) trat das Einzelgericht des Bezirksgerichts Dietikon (nachfolgend: Vorinstanz) auf das Ausweisungsbegehren der A._____ AG (nachfolgend: Gesuchstellerin oder Berufungsklägerin) vom 15. Januar 2024 (Poststempel vom 29. Januar 2024; act. 1) gegen den Gesuchs- gegner 1 und nunmehr Berufungsbeklagten (nachfolgend: Berufungsbeklagter) nicht ein (act. 16 = act. 19 = act. 21).</w:t>
      </w:r>
    </w:p>
    <w:p>
      <w:r>
        <w:rPr>
          <w:b/>
        </w:rPr>
        <w:t>E. 2</w:t>
      </w:r>
    </w:p>
    <w:p>
      <w:r>
        <w:t>Dagegen erhob die C._____ AG mit Eingabe vom 17. April 2024 Berufung (act. 20). Die Akten der Vorinstanz wurden beigezogen (act. 1 bis act. 17). Mit Verfügung vom 30. April 2024 wurde der Berufungsklägerin Frist zur Leistung ei- nes Kostenvorschusses angesetzt (act. 23). Mit Eingabe vom 8. Mai 2024 teilte die C._____ AG mit, die Berufung zurückzuziehen und deshalb auf die Zahlung des Kostenvorschusses zu verzichten (act. 25).</w:t>
      </w:r>
    </w:p>
    <w:p>
      <w:r>
        <w:rPr>
          <w:b/>
        </w:rPr>
        <w:t>E. 3</w:t>
      </w:r>
    </w:p>
    <w:p>
      <w:r>
        <w:t>Da sich die Verfügung der Vorinstanz vom 9. April 2024 und die entspre- chende Berufung offensichtlich nur gegen den Berufungsbeklagten richten, ist das Rubrum von Amtes wegen anzupassen und auf der Beklagtenseite nur der Beru- fungsbeklagte (nicht sein verstorbener Vater) aufzuführen.</w:t>
      </w:r>
    </w:p>
    <w:p>
      <w:r>
        <w:rPr>
          <w:b/>
        </w:rPr>
        <w:t>E. 4</w:t>
      </w:r>
    </w:p>
    <w:p>
      <w:r>
        <w:t>Die Berufung wurde von der C._____ AG erhoben (act. 20). Im Rubrum der vorinstanzlichen Verfügung ist die C._____ AG als Zustelladresse der Berufungs- klägerin aufgeführt, sie war nicht Partei des erstinstanzlichen Verfahrens. Eine Vertretung der Gesuchstellerin durch die C._____ AG als Verwalterin ist im vorlie- genden Berufungsverfahren unzulässig. Zur berufsmässigen gewillkürten Vertre- tung sind in erster Linie Anwältinnen und Anwälte befugt, die nach dem Schweize- rischen Anwaltsgesetz vom 23. Juni 2000 berechtigt sind, Parteien vor schweize- rischen Gerichten zu vertreten (Art. 68 Abs. 2 lit. a ZPO). In den Angelegenheiten des summarischen Verfahrens sind patentierte Sachwalter und Rechtsagenten zur Vertretung nur befugt, soweit das kantonale Recht es vorsieht (Art. 68 Abs. 2 lit. b ZPO). Eine solche Möglichkeit sieht das kantonale Recht nicht vor (Weisung des Regierungsrats des Kantons Zürich zum Gesetz über die Anpassung der kan- tonalen Behördenorganisation und des kantonalen Prozessrechts in Zivil- und</w:t>
      </w:r>
    </w:p>
    <w:p>
      <w:r>
        <w:t>- 3 - Strafsachen an die neuen Prozessgesetze des Bundes, Amtsblatt des Kantons Zürich vom 14. August 2009, S. 1558 ff., S. 1663). Die weiteren Anwendungsfälle gemäss Art. 68 Abs. 2 lit. c und d ZPO sind nicht einschlägig. Auf eine nachträgli- che Unterzeichnung der eingereichten Berufungsschrift (act. 20) gemäss Art. 132 ZPO – unter der Androhung, dass die Berufung ansonsten als nicht er- folgt gilt – kann aufgrund des zwischenzeitlich erfolgten Rückzugs jedoch verzich- tet werden.</w:t>
      </w:r>
    </w:p>
    <w:p>
      <w:r>
        <w:rPr>
          <w:b/>
        </w:rPr>
        <w:t>E. 5</w:t>
      </w:r>
    </w:p>
    <w:p>
      <w:r>
        <w:t>Die C._____ AG hat die von ihr erhobene Berufung mit Schreiben vom</w:t>
      </w:r>
    </w:p>
    <w:p>
      <w:r>
        <w:rPr>
          <w:b/>
        </w:rPr>
        <w:t>E. 8</w:t>
      </w:r>
    </w:p>
    <w:p>
      <w:r>
        <w:t>Mai 2024 zurückgezogen. Das Verfahren ist entsprechend abzuschreiben. 6. Mit dem Rückzug wird auch die erstinstanzliche Regelung der Kosten- und Entschädigungsfolge rechtskräftig. Die C._____ AG wird als Verursacherin der Kosten für das zweitinstanzliche Verfahren kostenpflichtig (Art. 108 ZPO). Ausge- hend vom Streitwert, in Anwendung der §§ 4, 8 Abs. 1 und 10 GebVO ist die Ge- bühr auf Fr. 670.– anzusetzen. Mangels zu entschädigender Umtriebe ist dem Be- rufungsbeklagten keine Parteientschädigung zuzusprechen.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