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LF230069 vom 4. Dezember 2023</w:t>
      </w:r>
    </w:p>
    <w:p>
      <w:r>
        <w:t>ZH Obergericht, 2023-12-04, DE</w:t>
      </w:r>
    </w:p>
    <w:p>
      <w:r>
        <w:rPr>
          <w:b/>
        </w:rPr>
        <w:t xml:space="preserve">Quelle: </w:t>
      </w:r>
      <w:r>
        <w:t>https://mcp.opencaselaw.ch/entscheid/zh_obergericht_LF230069</w:t>
      </w:r>
    </w:p>
    <w:p>
      <w:r>
        <w:t>FR: ZH_OBERGERICHT LF230069 du 4 décembre 2023</w:t>
      </w:r>
    </w:p>
    <w:p>
      <w:r>
        <w:t>IT: ZH_OBERGERICHT LF230069 del 4 dicembre 2023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Möchte ein Erbe das Erbe ausschlagen, so ist die Ausschlagung vom Er- ben bei der zuständigen Behörde mündlich oder schriftlich zu erklären (Art. 570 Abs. 1 ZGB). Die Frist beträgt drei Monate und beginnt für die gesetzlichen Erben – soweit sie nicht nachweisbar erst später vom Erbfall Kenntnis erhalten haben – mit dem Zeitpunkt, da ihnen der Tod des Erblassers bekannt geworden ist (Art. 567 ZGB). Bei verbeiständeten Erben kommt es auf den Zeitpunkt der ent- sprechenden Kenntnis des gesetzlichen Vertreters an (BSK ZGB II-SCHWANDER,</w:t>
      </w:r>
    </w:p>
    <w:p>
      <w:r>
        <w:t>- 6 -</w:t>
      </w:r>
    </w:p>
    <w:p>
      <w:r>
        <w:rPr>
          <w:b/>
        </w:rPr>
        <w:t>E. 7</w:t>
      </w:r>
    </w:p>
    <w:p>
      <w:r>
        <w:t>Die Kosten der durch die Erbausschlagung bewirkten Amtshandlung ge- hen zulasten des ausschlagenden Erben (ZR 96 (1997) Nr. 29 Erw. IV). Der Beru- fungskläger wäre somit auch dann kostenpflichtig geworden, wenn die Vorinstanz die Ausschlagung protokolliert hätte. Deshalb sind ihm die Kosten des erstin- stanzlichen Urteils aufzuerlegen. Dagegen sind für das Berufungsverfahren keine Kosten zu erheben. Für die Zusprechung einer Entschädigung an den obsiegen- den Berufungskläger fehlt eine gesetzliche Grundlage. Es wird erkannt: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