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LF230051 vom 31. August 2023</w:t>
      </w:r>
    </w:p>
    <w:p>
      <w:r>
        <w:t>ZH Obergericht, 2023-08-31, DE</w:t>
      </w:r>
    </w:p>
    <w:p>
      <w:r>
        <w:rPr>
          <w:b/>
        </w:rPr>
        <w:t xml:space="preserve">Quelle: </w:t>
      </w:r>
      <w:r>
        <w:t>https://mcp.opencaselaw.ch/entscheid/zh_obergericht_LF230051</w:t>
      </w:r>
    </w:p>
    <w:p>
      <w:r>
        <w:t>FR: ZH_OBERGERICHT LF230051 du 31 août 2023</w:t>
      </w:r>
    </w:p>
    <w:p>
      <w:r>
        <w:t>IT: ZH_OBERGERICHT LF230051 del 31 agosto 2023</w:t>
      </w:r>
    </w:p>
    <w:p>
      <w:pPr>
        <w:pStyle w:val="Heading2"/>
      </w:pPr>
      <w:r>
        <w:t>Erwägungen</w:t>
      </w:r>
    </w:p>
    <w:p>
      <w:r>
        <w:rPr>
          <w:b/>
        </w:rPr>
        <w:t>E. 3</w:t>
      </w:r>
    </w:p>
    <w:p>
      <w:r>
        <w:t>Die Gerichtskosten für das erstinstanzliche Verfahren werden den Beru- fungsbeklagten je zur Hälfte, unter solidarischer Haftung für den gesamten Betrag, auferlegt und aus dem von ihnen geleisteten Kostenvorschuss be- zogen.</w:t>
      </w:r>
    </w:p>
    <w:p>
      <w:r>
        <w:rPr>
          <w:b/>
        </w:rPr>
        <w:t>E. 4</w:t>
      </w:r>
    </w:p>
    <w:p>
      <w:r>
        <w:t>Es werden keine Partei-/Umtriebsentschädigungen für das erstinstanzliche Verfahren zugesprochen.</w:t>
      </w:r>
    </w:p>
    <w:p>
      <w:r>
        <w:rPr>
          <w:b/>
        </w:rPr>
        <w:t>E. 5</w:t>
      </w:r>
    </w:p>
    <w:p>
      <w:r>
        <w:t>Die zweitinstanzliche Entscheidgebühr wird auf Fr. 2'500.– festgesetzt.</w:t>
      </w:r>
    </w:p>
    <w:p>
      <w:r>
        <w:rPr>
          <w:b/>
        </w:rPr>
        <w:t>E. 6</w:t>
      </w:r>
    </w:p>
    <w:p>
      <w:r>
        <w:t>Die Kosten des Berufungsverfahrens werden den Berufungsbeklagten je zur Hälfte, unter solidarischer Haftung für den gesamten Betrag, auferlegt.</w:t>
      </w:r>
    </w:p>
    <w:p>
      <w:r>
        <w:rPr>
          <w:b/>
        </w:rPr>
        <w:t>E. 7</w:t>
      </w:r>
    </w:p>
    <w:p>
      <w:r>
        <w:t>Es werden keine Partei-/Umtriebsentschädigungen für das zweitinstanzliche Verfahren zugesprochen.</w:t>
      </w:r>
    </w:p>
    <w:p>
      <w:r>
        <w:rPr>
          <w:b/>
        </w:rPr>
        <w:t>E. 8</w:t>
      </w:r>
    </w:p>
    <w:p>
      <w:r>
        <w:t>Schriftliche Mitteilung an die Parteien, an die Berufungsklägerin unter Beilage eines Doppels von act. 33, sowie an das Bezirksgericht Zürich, je gegen Empfangsschein. Nach unbenütztem Ablauf der Rechtsmittelfrist gehen die erstinstanzlichen Akten an die Vorinstanz zurück.</w:t>
      </w:r>
    </w:p>
    <w:p>
      <w:r>
        <w:rPr>
          <w:b/>
        </w:rPr>
        <w:t>E. 9</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- 15 - Dies ist ein Endentscheid im Sinne von Art. 90 BGG. Es handelt sich um eine vermögensrechtliche Angelegenheit. Der Streitwert beträgt Fr. 32'880.–. Die Beschwerde an das Bundesgericht hat keine aufschiebende Wirkung. Obergericht des Kantons Zürich II. Zivilkammer Die Gerichtsschreiberin: MLaw J. Camelin-Nagel versandt am: 31. August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