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LF230014 vom 13. März 2023</w:t>
      </w:r>
    </w:p>
    <w:p>
      <w:r>
        <w:t>ZH Obergericht, 2023-03-13, DE</w:t>
      </w:r>
    </w:p>
    <w:p>
      <w:r>
        <w:rPr>
          <w:b/>
        </w:rPr>
        <w:t xml:space="preserve">Quelle: </w:t>
      </w:r>
      <w:r>
        <w:t>https://mcp.opencaselaw.ch/entscheid/zh_obergericht_LF230014</w:t>
      </w:r>
    </w:p>
    <w:p>
      <w:r>
        <w:t>FR: ZH_OBERGERICHT LF230014 du 13 mars 2023</w:t>
      </w:r>
    </w:p>
    <w:p>
      <w:r>
        <w:t>IT: ZH_OBERGERICHT LF230014 del 13 marzo 2023</w:t>
      </w:r>
    </w:p>
    <w:p>
      <w:pPr>
        <w:pStyle w:val="Heading2"/>
      </w:pPr>
      <w:r>
        <w:t>Erwägungen</w:t>
      </w:r>
    </w:p>
    <w:p>
      <w:r>
        <w:rPr>
          <w:b/>
        </w:rPr>
        <w:t>E. 1</w:t>
      </w:r>
    </w:p>
    <w:p>
      <w:r>
        <w:t>in E._____ ab. Diese Räumlichkeit sollte als ...-studio dienen. Die Mietvertrags- parteien vereinbarten einen vierteljährlichen Bruttomietzins von Fr. 18'360.– (act. 5/1; act. 5/5). Die Vertragsparteien setzten den Mietbeginn auf den 1. Januar 2017 fest (act. 5/1). Zuvor hatte die Einzelfirma am 19. Dezember 2014 vom Be- rufungsbeklagten bereits per 1. Januar 2015 die dazugehörigen Aussenparkplätze 52/61–66/71/72 für einen vierteljährlichen Mietzins von Fr. 1'215.– respektive Fr. 258.– gemietet (act. 5/2 f.).</w:t>
      </w:r>
    </w:p>
    <w:p>
      <w:r>
        <w:rPr>
          <w:b/>
        </w:rPr>
        <w:t>E. 1.1</w:t>
      </w:r>
    </w:p>
    <w:p>
      <w:r>
        <w:t>Ausgangsgemäss sind die Prozesskosten den Berufungsklägern 1 und 2 je zur Hälfte aufzuerlegen (Art. 106 Abs. 1 Satz 1 ZPO), wobei sie je solidarisch für den Gesamtbetrag haften (Art. 106 Abs. 3 Satz 2 ZPO).</w:t>
      </w:r>
    </w:p>
    <w:p>
      <w:r>
        <w:rPr>
          <w:b/>
        </w:rPr>
        <w:t>E. 1.2</w:t>
      </w:r>
    </w:p>
    <w:p>
      <w:r>
        <w:t>Die Höhe der Gerichtsgebühr bestimmt sich in der vorliegenden vermö- gensrechtlichen Angelegenheit nach dem Streitwert. Praxisgemäss entspricht der Streitwert bei einer Ausweisung sechs Bruttomonatsmietzinsen (OGer ZH, PF190010 vom 13. März 2019, E. 2.1; OGer ZH, LF180066 vom 16. November 2018, E. 3.1). Der halbjährliche Bruttomietzins der Gewerberäumlichkeiten und der Parkplätze beträgt insgesamt Fr. 39'666.– (2 x Fr. 18'360.– [Quartalsmietzins für den Gewerberaum; act. 5/5] + 2 x Fr. 1'215.– [Quartalsmietzins für die Park- plätze 52, 61–66, 71–72; act. 5/2] + 2 x Fr. 258.– [Quartalsmietzinsen für die Parkplätze 67–70; act. 5/3]). Bei diesem Streitwert ist die Gerichtsgebühr für das Berufungsverfahren auf Fr. 2'500.– festzusetzen (§ 12 Abs. 1, § 4 Abs. 1 in Ver- bindung mit § 8 Abs. 1 GebV OG).</w:t>
      </w:r>
    </w:p>
    <w:p>
      <w:r>
        <w:t>- 12 - 2. Die Berufungskläger 1 und 2 unterliegen im vorliegenden Rechtsmittelverfahren. Ausgangsgemäss haben sie daher keinen Anspruch auf eine Parteientschädi- gung. Dem Berufungsbeklagten ist durch das Rechtsmittelverfahren kein nen- nenswerter Aufwand entstanden, weshalb ihm auch keine Parteientschädigung zuzusprechen ist. Es wird erkannt: 1. Die Berufung wird abgewiesen. Das Urteil vom 30. Januar 2023 des Be- zirksgerichtes Bülach wird bestätigt. 2. Die zweitinstanzliche Entscheidgebühr wird auf Fr. 2'500.– festgesetzt und den Berufungsklägern 1 und 2 unter solidarischer Haftung je zur Hälfte auf- erlegt. 3. Es werden keine Parteientschädigungen zugesprochen.</w:t>
      </w:r>
    </w:p>
    <w:p>
      <w:r>
        <w:rPr>
          <w:b/>
        </w:rPr>
        <w:t>E. 1.3</w:t>
      </w:r>
    </w:p>
    <w:p>
      <w:r>
        <w:t>Die Anwaltskanzlei X1'._____ Rechtsanwälte der Berufungskläger 1 und 2 scheint sich der technischen Probleme bzw. der fehlenden Signatur bewusst ge- wesen zu sein. Am 14. Februar 2023 teilte nämlich Rechtsanwalt MLaw X2._____ aus dieser Kanzlei dem Gericht telefonisch mit, er habe die Berufungseingabe am Vortag um ca. 22:50 Uhr in ausgedruckter Form in einen Briefkasten der Post ge- worfen, nachdem ihm auf entsprechende Nachfrage mitgeteilt worden war, dass die elektronische Berufungseingabe wohl ungültig sei. Zugleich stellte Rechtsan- walt X2._____ Fotos und Videos in Aussicht, die diesen Einwurf beweisen sollte (act. 29).</w:t>
      </w:r>
    </w:p>
    <w:p>
      <w:r>
        <w:rPr>
          <w:b/>
        </w:rPr>
        <w:t>E. 1.4</w:t>
      </w:r>
    </w:p>
    <w:p>
      <w:r>
        <w:t>Am 15. Februar 2023 traf der Briefumschlag mit der Rechtsschrift bei der Kammer ein. Darauf bezeugen Rechtsanwalt X2._____ sowie ein Polizist namens F._____, dass der Einwurf des Couverts am 13. Februar 2023 um 22:55 Uhr am Paradeplatz erfolgt sei (act. 38). Weiter reichte Rechtsanwalt X1._____ mit Ein- gabe vom 14. Februar 2022 eine Erläuterung der Ereignisse rund um die Aufgabe der Berufungseingabe ein und legte dieser einen USB-Stick mit einer Videodatei bei, die den Einwurf zeigt (act. 39 f.). Vorliegend besteht aufgrund der gesamten Umstände kein Anlass, an der Richtigkeit des geltend gemachten postalischen Aufgabezeitpunktes zu zweifeln. Der fehlerhafte elektronische Zustellversuch er-</w:t>
      </w:r>
    </w:p>
    <w:p>
      <w:r>
        <w:t>- 7 - folgte am 13. Februar 2023 um 22:20 Uhr. Bereits 35 Minuten später, das heisst um 22:55 Uhr, warf ein Mitarbeiter der Anwaltskanzlei den Umschlag mit der Be- rufung in einen Postbriefkasten am Paradeplatz. Dabei liess er sich diesen Vor- gang durch einen Polizisten als Zeugen auf dem Couvert unterschriftlich bestäti- gen (act. 38). Zudem fertigte er davon eine Videoaufnahme an (act. 40/1 ff.). Die beiden Berufungskläger wahrten damit die Rechtsmittelfrist. 2.</w:t>
      </w:r>
    </w:p>
    <w:p>
      <w:r>
        <w:rPr>
          <w:b/>
        </w:rPr>
        <w:t>E. 2.1</w:t>
      </w:r>
    </w:p>
    <w:p>
      <w:r>
        <w:t>Die Berufung ist bei der Rechtsmittelinstanz schriftlich und begründet ein- zureichen. Weiter muss sie ein Rechtsbegehren enthalten (BGE 137 III 617 E. 4.2.2; PC CPC-Bastons Bulletti, Art. 311 N 3; BSK ZPO-Spühler, 3. A., Art. 311 N 12). Die Eingabe der Berufungskläger enthält eine Begründung und Anträge (act. 2 S. 2 f.). Damit erfüllt sie die formellen Berufungsvoraussetzungen, weshalb darauf einzutreten ist.</w:t>
      </w:r>
    </w:p>
    <w:p>
      <w:r>
        <w:rPr>
          <w:b/>
        </w:rPr>
        <w:t>E. 2.2</w:t>
      </w:r>
    </w:p>
    <w:p>
      <w:r>
        <w:t>Neue Tatsachen und Beweismittel werden im Berufungsverfahren gemäss Art. 317 Abs. 1 ZPO nur noch berücksichtigt, wenn sie (a.) ohne Verzug vorge- bracht werden und (b.) trotz zumutbarer Sorgfalt nicht schon vor erster Instanz vorgebracht werden konnten. Diese beiden Voraussetzungen müssen kumulativ ("und") erfüllt sein. Zu den neuen Tatsachen und Beweismitteln gehören sowohl echte als auch unechte Noven (BSK ZPO-Spühler, 3. A., Art. 317 N 5). Erstmalige Bestreitungen gelten ebenfalls als Noven im Sinne von Art. 317 Abs. 1 ZPO (CHK-Sutter-Somm/Seiler, Art. 317 ZPO N 5).</w:t>
      </w:r>
    </w:p>
    <w:p>
      <w:r>
        <w:rPr>
          <w:b/>
        </w:rPr>
        <w:t>E. 2.3</w:t>
      </w:r>
    </w:p>
    <w:p>
      <w:r>
        <w:t>Die Novenschranke von Art. 317 Abs. 1 ZPO greift unabhängig davon, ob sich die novenvorbringende Partei im vorinstanzlichen Verfahren anwaltlich ver- treten liess oder nicht. Stets ist sie für das Nichtvorbringen vor erster Instanz selbst verantwortlich (BGer, 4D_8/2015 vom 21. April 2015, E. 2.3; CHK-Sutter- Somm/Seiler, Art. 317 ZPO N 9). Das Berufungsverfahren ist nicht der Ort, um Versäumtes nachzubessern. Parteien müssen vielmehr von sich aus alles Rele- vante in das erstinstanzliche Verfahren einbringen (Reetz/Hilber, in: Sutter Somm et al. [Hrsg.], 3. A., Art. 317 N 63).</w:t>
      </w:r>
    </w:p>
    <w:p>
      <w:r>
        <w:t>- 8 -</w:t>
      </w:r>
    </w:p>
    <w:p>
      <w:r>
        <w:rPr>
          <w:b/>
        </w:rPr>
        <w:t>E. 2.4</w:t>
      </w:r>
    </w:p>
    <w:p>
      <w:r>
        <w:t>Ist die soziale Untersuchungsmaxime anwendbar, dürfen im erstinstanzli- chen Verfahren Noven voraussetzungslos vorgebracht werden (Art. 229 Abs. 3 ZPO). Für das Berufungsverfahren fällt hingegen eine analoge Anwendung von Art. 229 Abs. 3 ZPO grundsätzlich ausser Betracht (BGE 142 III 413, E. 2.2.2; BGE 138 III 625 E. 2.2). Eine Ausnahme besteht nur dann, wenn das Gericht in Kinderbelangen den Sachverhalt von Amtes wegen erforschen muss (Art. 296 Abs. 1 ZPO; sog. uneingeschränkte Untersuchungsmaxime). In diesem Fall kön- nen Noven selbst vor Obergericht noch unbeschränkt vorgebracht werden (OGer ZH, LY190050 vom 26. Juni 2020, E. 2.5). 3.</w:t>
      </w:r>
    </w:p>
    <w:p>
      <w:r>
        <w:rPr>
          <w:b/>
        </w:rPr>
        <w:t>E. 3</w:t>
      </w:r>
    </w:p>
    <w:p>
      <w:r>
        <w:t>Da die Berufungskläger 1 und 2 dieser Aufforderung keine Folge leisteten, stellte der Berufungsbeklagte mit Schreiben vom 1. Dezember 2022 beim Bezirksgericht Bülach (fortan Vorinstanz) das vorstehende Ausweisungsbegehren (act. 1). Mit Urteil vom 30. Januar 2023 verpflichtete die Vorinstanz die Berufungskläger 1 und 2, die Mietobjekte unverzüglich zu räumen sowie ordnungsgemäss gereinigt zu- rückzugeben (act. 20 = act. 23 = act. 25).</w:t>
      </w:r>
    </w:p>
    <w:p>
      <w:r>
        <w:rPr>
          <w:b/>
        </w:rPr>
        <w:t>E. 3.1</w:t>
      </w:r>
    </w:p>
    <w:p>
      <w:r>
        <w:t>Der Berufungskläger 1 führte in seiner vorinstanzlichen Gesuchsantwort vom 16. Dezember 2022 aus, die vom Berufungsbeklagten aufgeführten Punkte zur Kündigung und zum Zahlungsverzug seien korrekt und würden von ihm nicht bestritten. Trotz der Kündigung vom 28. April 2022 hätten die Parteien eine Ab- zahlungsvereinbarung bezüglich der ausstehenden Mietzinse getroffen. Er habe sich einen Standort für sein neues …-studio im G._____ Center gesichert. Dieses Gebäude werde voraussichtlich im August 2023 eröffnet. Er habe deshalb den Vermieter gebeten, ihm mehr Zeit zu geben, um einen Nachmieter zu finden. Auch wenn der Vermieter grundsätzlich nicht dazu verpflichtet gewesen sei, habe er versucht, an dessen Vernunft zu appellieren, zöge doch ein Konkurs für beide Seiten schlimme Folgen nach sich. Es sehe nun so aus, dass er einen Nachfolger gefunden habe. Auf diese Weise könne er dem Berufungsbeklagten die Mietaus- stände und die Mieten bis August/September 2023 bezahlen. Er ersuche daher um "einen Aufschub bezüglich dem Entscheid bis maximal [E]nde Januar 2023 damit[,] wir hier alles abschliessen und bereinigen können" (act. 9).</w:t>
      </w:r>
    </w:p>
    <w:p>
      <w:r>
        <w:rPr>
          <w:b/>
        </w:rPr>
        <w:t>E. 3.2</w:t>
      </w:r>
    </w:p>
    <w:p>
      <w:r>
        <w:t>Der Berufungskläger 1 bekräftigte in seiner Stellungnahme vom 5. Januar 2023 noch einmal, dass er eine Lösung suche, die für beide Parteien keinen fi- nanziellen Schaden bewirke. Wenn er das ...-studio nicht verkaufen könne, ginge er Konkurs. In diesem Fall könnte der Berufungsbeklagte nicht sogleich das Miet- objekt weitervermieten, da sich das Konkursamt zuerst mit den dort abgestellten geleasten und auf Kredit erworbenen ...-geräte befassen müsste (act. 16).</w:t>
      </w:r>
    </w:p>
    <w:p>
      <w:r>
        <w:t>- 9 -</w:t>
      </w:r>
    </w:p>
    <w:p>
      <w:r>
        <w:rPr>
          <w:b/>
        </w:rPr>
        <w:t>E. 3.3</w:t>
      </w:r>
    </w:p>
    <w:p>
      <w:r>
        <w:t>Der Berufungskläger 1 hat vor Bezirksgericht die Gültigkeit der Kündigung und die Mietzinsausstände ausdrücklich anerkannt. Auch hat er im erstinstanzli- chen Verfahren nie behauptet, er dürfe weiterhin im Mietobjekt bleiben. Er war sich bewusst, dass er gegenüber dem Berufungsbeklagten keinen Rechtsan- spruch auf Fortführung des Mietverhältnisses hatte. So hielt er dazu Folgendes fest (act. 9 S. 2): "Daher habe ich den [Berufungsbeklagten] darum gebeten[,] mir mehr Zeit einzuräumen. Auch wenn er grundsätzlich nicht dazu verpflichtet ist, versuchte ich hier auf die Vernunft zu appellieren[.]" Der Berufungskläger 1 streb- te im vorinstanzlichen Verfahren nur eine Sistierung der Ausweisung bis Ende Ja- nuar 2023 an, um in dieser Zeit einen Nachfolger für die Mieträumlichkeiten zu finden (act. 9 S. 3). Die Vorinstanz hat das Sistierungsgesuch nicht förmlich be- handelt. Indessen wartete sie bis zum 30. Januar 2023, ehe sie ihren Auswei- sungsentscheid fällte (act. 23). Damit hat die Vorinstanz den Berufungsklägern die beantragte Sistierung faktisch gewährt.</w:t>
      </w:r>
    </w:p>
    <w:p>
      <w:r>
        <w:rPr>
          <w:b/>
        </w:rPr>
        <w:t>E. 3.4</w:t>
      </w:r>
    </w:p>
    <w:p>
      <w:r>
        <w:t>In ihrem Rechtsmittel machten die Berufungskläger zusammengefasst gel- tend, zwischen den Parteien sei ein neues befristetes Mietverhältnis bis Ende Juli 2023 zustande gekommen. Die Parteien hätten sich über das Mietobjekt in E._____ unterhalten. Es sei ihnen auch klar gewesen, dass dafür ein Mietzins ge- schuldet sei. Die Höhe des Mietzinses sei sodann eindeutig definiert gewesen. Damit lägen die wesentlichen Vertragspunkte vor (act. 34 S. 9). Der Berufungs- kläger 1 sei im vorinstanzlichen Verfahren noch nicht anwaltlich vertreten gewe- sen. Die Vorinstanz hätte sich daher in Ausübung ihrer richterlichen Fragepflicht bei ihm nach den genauen Umständen dieses zweiten mündlichen Vertrags- schlusses erkundigen müssen. So habe der Berufungskläger 1 auf den Abzah- lungsvertrag hingewiesen und die Ausführungen des Berufungsbeklagten bestrit- ten. Da damit ein unklares und offensichtlich unvollständiges Parteivorbringen vorliege, hätte das Gericht den Sachverhalt genauer abklären müssen. Auch habe die Vorinstanz das Sistierungsgesuch des Berufungsklägers 1 ignoriert (act. 34 S. 11). Der Berufungskläger habe aufgrund seiner juristischen Unerfahrenheit den neuen Mietvertrag nicht explizit vorgebracht, sondern diesen nur sinngemäss mit dem Abzahlungsvertrag angedeutet. Wäre geprüft worden, ob ein neuer Mietver- trag vorliege, dann wäre die Vorinstanz zum Schluss gekommen, dass die Aus-</w:t>
      </w:r>
    </w:p>
    <w:p>
      <w:r>
        <w:t>- 10 - weisung nicht hätte gutgeheissen werden können. Damit habe die Vorinstanz auch Art. 153 Abs. 2 ZPO missachtet. Weiter verstosse der Berufungsbeklagte gegen den Grundsatz von Treu und Glauben, habe er doch bereits Ende Mai 2022 ein Ausweisungsbegehren stellen können. Aufgrund der Verhandlungen mit dem Vermieter habe er darauf vertrauen dürfen, bis Ende Juli 2023 im Mietobjekt verweilen zu können (act. 34 S. 12). Schliesslich habe der Berufungsbeklagte mit der Koppelung verschiedener Mietverträge eine unsichere Lage geschaffen (act. 34 S. 13).</w:t>
      </w:r>
    </w:p>
    <w:p>
      <w:r>
        <w:rPr>
          <w:b/>
        </w:rPr>
        <w:t>E. 3.5</w:t>
      </w:r>
    </w:p>
    <w:p>
      <w:r>
        <w:t>Der Berufungskläger 1 anerkannte im vorinstanzlichen Verfahren aus- drücklich, keinen Anspruch auf das Mietobjekt mehr zu haben. Wie er selbst fest- hielt, wollte er bloss einen Aufschub des Gerichtsentscheides bis Ende Januar 2023 erwirken. Die so gewonnene Zeitspanne sollte ihm dazu dienen, einen Nachfolger für das Mietobjekt zu finden (act. 9 S. 2 f.).</w:t>
      </w:r>
    </w:p>
    <w:p>
      <w:r>
        <w:rPr>
          <w:b/>
        </w:rPr>
        <w:t>E. 3.6</w:t>
      </w:r>
    </w:p>
    <w:p>
      <w:r>
        <w:t>Das Gericht gewährt Rechtsschutz in klaren Fällen gemäss Art. 257 Abs. 1 ZPO, wenn zum einen der Sachverhalt unbestritten oder sofort beweisbar (lit. a) und zum anderen die Rechtslage klar ist (lit. b). Ein Sachverhalt ist dann sofort beweisbar im Sinne von Art. 257 Abs. 1 lit. a ZPO, wenn er ohne zeitliche Verzö- gerung und ohne besonderen Aufwand nachgewiesen werden kann. Der Beweis ist in der Regel durch Urkunden zu erbringen (BGE 138 III 123, E. 2.1.1 m.H.). Bestreitet die Gegenpartei die Tatsachen glaubhaft, dann kann der schnelle Rechtsschutz in klaren Fällen nicht gewährt werden, weil kein liquider Sachverhalt vorliegt. Vorausgesetzt ist, dass die gesuchsgegnerische Partei substanziiert und schlüssig Einwendungen vorträgt, die in tatsächlicher Hinsicht nicht sofort wider- legt werden können und die geeignet sind, die bereits gebildete richterliche Über- zeugung zu erschüttern. Gerichte suchen daher nicht von Amtes wegen nach möglichen Ausweisungshindernissen, welche die Mieterschaft gar nicht geltend gemacht hat. An dieser Tatsache ändert auch Art. 56 ZPO nichts: Die richterliche Fragepflicht ersetzt weder die zumutbare Mitwirkung der Parteien bei der Feststel- lung des Sachverhalts noch dient sie dazu prozessuale Nachlässigkeit auszuglei- chen (BGer, 5A_46/2018 vom 4. März 2019, E. 3.2.1; DIKE ZPO-Glasl, 2. A., Art. 56 N 35). Die Berufungskläger haben im vorinstanzlichen Verfahren keine</w:t>
      </w:r>
    </w:p>
    <w:p>
      <w:r>
        <w:t>- 11 - schlüssigen und substantiierten Tatsachenbehauptungen aufgestellt, aus denen die Vorinstanz ein neues Mietverhältnis hätte ableiten können. Vielmehr behaup- ten sie in ihrem Rechtsmittel zum ersten Mal, nach der Kündigung mit dem Beru- fungsbeklagten einen mündlichen Mietvertrag geschlossen zu haben. Auch die angeblich unzulässige Koppelung der Mietverträge sowie die Frage, ob das Aus- weisungsbegehren möglicherweise zu spät gestellt worden sei (act. 34 S. 9 ff.), bildeten kein Thema des vorinstanzlichen Verfahrens. All diese Tatsachen waren den Betroffenen bereits damals bekannt, weshalb es sich um unechte Noven handelt, die im Berufungsverfahren unberücksichtigt bleiben (Art. 317 Abs. 1 ZPO).</w:t>
      </w:r>
    </w:p>
    <w:p>
      <w:r>
        <w:rPr>
          <w:b/>
        </w:rPr>
        <w:t>E. 4</w:t>
      </w:r>
    </w:p>
    <w:p>
      <w:r>
        <w:t>Schriftliche Mitteilung an die Parteien, an den Berufungsbeklagten unter Bei- lage einer Kopie der Berufung (act. 34), sowie an das Bezirksgericht Bülach,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39'666.–. Die Beschwerde an das Bundesgericht hat keine aufschiebende Wirkung.</w:t>
      </w:r>
    </w:p>
    <w:p>
      <w:r>
        <w:t>- 13 -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