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LF220099 vom 14. Februar 2023</w:t>
      </w:r>
    </w:p>
    <w:p>
      <w:r>
        <w:t>ZH Obergericht, 2023-02-14, DE</w:t>
      </w:r>
    </w:p>
    <w:p>
      <w:r>
        <w:rPr>
          <w:b/>
        </w:rPr>
        <w:t xml:space="preserve">Quelle: </w:t>
      </w:r>
      <w:r>
        <w:t>https://mcp.opencaselaw.ch/entscheid/zh_obergericht_LF220099</w:t>
      </w:r>
    </w:p>
    <w:p>
      <w:r>
        <w:t>FR: ZH_OBERGERICHT LF220099 du 14 février 2023</w:t>
      </w:r>
    </w:p>
    <w:p>
      <w:r>
        <w:t>IT: ZH_OBERGERICHT LF220099 del 14 febbraio 2023</w:t>
      </w:r>
    </w:p>
    <w:p>
      <w:pPr>
        <w:pStyle w:val="Heading2"/>
      </w:pPr>
      <w:r>
        <w:t>Erwägungen</w:t>
      </w:r>
    </w:p>
    <w:p>
      <w:r>
        <w:rPr>
          <w:b/>
        </w:rPr>
        <w:t>E. 1</w:t>
      </w:r>
    </w:p>
    <w:p>
      <w:r>
        <w:t>Zugunsten des Grundstücks des Gesuchstellers und Berufungsklägers (fortan Berufungskläger) Grundbuch Blatt 2, Kataster 3, E._____-strasse …, D._____, besteht unter anderem zulasten des Grundstücks des Gesuchsgegners und Berufungsbeklagten (fortan Berufungsbeklagter) Grundbuch Blatt 4, Kataster 1, C._____-strasse ..., D._____ eine als Baubeschränkung ausgestaltete Grund- dienstbarkeit (act. 3/2-4). Die Dienstbarkeit wurde gestützt auf einen Dienstbar- keitsvertrag im Jahre 1963 auf ursprünglich insgesamt zwei Grundstücken, die später parzelliert wurden, ins Grundbuch eingetragen (act. 3/2 S. 2; act. 3/4-5). Dem im Grundbuch hierzu vermerkten Servitutenprotokoll ist folgender Wortlaut zu entnehmen (act. 3/4): "Die Eigentümer dürfen das gesamte Bauareal der belasteten Liegenschaf- ten (gemäss Situationsplan Hauptbeleg D._____1962 Nr. …) mit einer Aus-</w:t>
      </w:r>
    </w:p>
    <w:p>
      <w:r>
        <w:t>- 4 - nützungziffer von nicht über 40% nutzen. Im Einzelnen beträgt die Arealflä- che ca. 39'000m2 (genaue Vermessung vorbehalten). Garagen werden nicht zur Ausnützung gerechnet, dagegen Ladenflächen voll, Wohnungen im Untergeschoss mit ihrer Wohnfläche netto und mit dem auf sie entfallenden Teil des Korridor- und Treppengrundrisses, Wohngeschosse voll nach Hauslänge und -breite." Im Jahr 2018 wurde die Dienstbarkeit auf einigen Grundstücken gelöscht (act. 4/3/8). Auf dem Grundstück des Berufungsbeklagten begannen im Frühling 2022 Bauarbeiten für eine Gebäudeaufstockung des bisherigen dreistöckigen Gebäudes um ein Vollgeschoss und ein Attikageschoss, wofür am 1. November 2021 die baurechtliche Bewilligung erteilt worden war (vgl. act. 1 Rz. 8 ff.; act. 3/3; act. 3/7-8; act. 4/1 Rz. 6 f.).</w:t>
      </w:r>
    </w:p>
    <w:p>
      <w:r>
        <w:rPr>
          <w:b/>
        </w:rPr>
        <w:t>E. 1.1</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Zur Anordnung von vorsorglichen Massnahmen müssen sowohl der Verfügungsan- spruch als auch der Verfügungsgrund bejaht werden können. Betreffend den Ver- fügungsanspruch hat das Gericht eine Hauptsachenprognose über den zivilrecht- lichen Anspruch zu stellen, betreffend den Verfügungsgrund eine Nachteilsprog- nose in Bezug auf die Frage des Drohens eines nicht leicht wieder gutzumachen- den Nachteils. Gleichzeitig hat nebst der Verhältnismässigkeit eine gewisse zeitli- che Dringlichkeit vorzuliegen, welche dann zu bejahen ist, wenn der nicht leicht wieder gutzumachende Nachteil nicht anders als durch den Erlass vorsorglicher Massnahmen abgewendet werden kann und ein Zuwarten auf das Resultat des Hauptverfahrens nicht zumutbar erscheint (ZÜRCHER, DIKE-Komm-ZPO, 2. Aufl. 2016, Art. 261 N 12, 17 und 33; KUKO ZPO-KOFMEL EHRENZELLER, 3. Aufl. 2021, Art. 261 N 4 ff.). 1.2.1. Vorliegend ist in Bezug auf den Verfügungsanspruch der Inhalt und Umfang einer Grunddienstbarkeit strittig. Für die Ermittlung von Inhalt und Umfang einer Dienstbarkeit gibt Art. 738 ZGB eine Stufenordnung vor. Soweit sich Rechte und Pflichten aus dem Grundbucheintrag deutlich ergeben, ist dieser für den Inhalt massgebend (Art. 738 Abs. 1 ZGB). Wenn der Wortlaut unklar ist, ist in zweiter Linie auf den Erwerbsgrund, das heisst den Begründungsakt, abzustellen. Ist auch der Erwerbsgrund nicht schlüssig, kann sich der Inhalt der Dienstbarkeit – im Rahmen des Eintrags – aus der Art ergeben, wie sie während längerer Zeit unangefochten und in gutem Glauben ausgeübt worden ist (Art. 738 Abs. 2 ZGB; BGE 137 III 145 E. 3.1 mit Hinweisen; BGer 5A_873/2018 vom 19. März 2020</w:t>
      </w:r>
    </w:p>
    <w:p>
      <w:r>
        <w:t>- 7 - E. 2.1). Um Wiederholungen zu vermeiden, ist diesbezüglich grundsätzlich auf die rechtlichen Erwägungen der Vorinstanz zu verweisen (vgl. act. 29 E. 10). 1.2.2. Zu ergänzen ist, dass bei Teilung des (berechtigten oder) belasteten Grundstücks die Dienstbarkeit grundsätzlich auf allen Teilen weiterbesteht (Art. 743 Abs. 1 ZGB). Jedes Teilstück bzw. jede neue Parzelle ist somit von Ge- setzes wegen mit einer Dienstbarkeit gleichen Inhalts (wie vor der Parzellierung) belastet, wobei die Gesamtbelastung gleich bleibt (PIOTET, Die beschränkten dinglichen Rechte im Allgemeinen, die Dienstbarkeiten und Grundlasten, SPR V/2, Basel 2022, Rz. 299 f.; s.a. BSK ZGB II-PETITPIERRE, 6. Aufl. 2019, Art. 743 N 3 f.). Die mit der Teilung entstehenden Dienstbarkeiten sind grundsätzlich von- einander unabhängig. Geht die Dienstbarkeit auf einzelnen Grundstücken unter, hat dies keinen Einfluss auf den Bestand der Dienstbarkeit auf den anderen Grundstücken. Die Dienstbarkeiten sind jedoch in dem Sinne miteinander ver- knüpft, als die Last der Dienstbarkeiten zusammengerechnet keine Mehrbelas- tung bedeuten darf; die ursprüngliche Last muss gleich bleiben (PIOTET, a.a.O., Rz. 299 f. und 339 ff.). 2. Die Vorinstanz erwog, dass das Gesuch um Erlass vorsorglicher Mass- nahmen abzuweisen sei, da keine Anspruchsgrundlage glaubhaft gemacht sei. Bereits aus dem Wortlaut des Grundbucheintrags gehe klar hervor, dass sich die Baubeschränkung (Ausnützungsziffer von nicht über 40%) auf ein bestimmtes Bauareal mit einer Gesamtfläche von ca. 39'000m2 betreffend eine konkret ge- plante Überbauung mit Geschäfts- und Wohnräumen beziehe. Dieses Bauareal umfasse gemäss Beleg, auf den der Eintrag verweise, die Gesamtfläche der bei- den (ursprünglichen) Grundstücke Kat.-Nr. 5 und 6. Auch unter Berücksichtigung des Zwecks zum Zeitpunkt der Errichtung erscheine der Wortlaut als sinnvoll. Man habe im Hinblick auf eine konkret geplante Überbauung, und nicht auf die (beliebige) Überbauung eines einzelnen Grundstücks, die zulässige Ausnützung beschränken wollen. Ziehe man den Dienstbarkeitsvertrag hinzu, ergebe sich Sinn und Zweck eindeutig. Weshalb der Grundbucheintrag anders zu verstehen sein sollte, erläutere der Berufungskläger nicht. Würde man davon ausgehen, die Dienstbarkeit beziehe sich bei Teilung der (ursprünglich) belasteten Grundstücke</w:t>
      </w:r>
    </w:p>
    <w:p>
      <w:r>
        <w:t>- 8 - auf jedes einzelne Grundstück, so würde dies eine offensichtliche Mehrbelastung der Grundstücke bedeuten. Dass die Dienstbarkeit ursprünglich bezogen auf zwei Grundstücke zusammen mit einer Gesamtfläche von ca. 39'000m2 errichtet wor- den sei, schliesse eine Einzelbetrachtung aus (act. 12 E. 12-13).</w:t>
      </w:r>
    </w:p>
    <w:p>
      <w:r>
        <w:rPr>
          <w:b/>
        </w:rPr>
        <w:t>E. 2</w:t>
      </w:r>
    </w:p>
    <w:p>
      <w:r>
        <w:t>Mit Eingabe vom 10. August 2022 reichte der Berufungskläger beim Ein- zelgericht des Bezirksgerichts Bülach (fortan Vorinstanz) ein Gesuch um Erlass superprovisorischer bzw. vorsorglicher Massnahmen mit den eingangs erwähnten Anträgen ein (act. 1). Mit Verfügung vom 12. August 2022 wurde das Gesuch um Erlass superprovisorischer Massnahmen abgewiesen und es wurde dem Beru- fungsbeklagten Frist zur Massnahmeantwort angesetzt (act. 5). Die Massnahme- antwort mit den eingangs erwähnten Anträgen erfolgte mit Eingabe vom 12. September 2022 (act. 12). Nach Stellungahme des Berufungsklägers zur Massnahmeantwort mit Eingabe vom 6. Oktober 2022 und darauf folgender Stel- lungnahme des Berufungsbeklagten mit Eingabe vom 24. Oktober 2022 (act. 17; act. 22) wies die Vorinstanz das Gesuch des Berufungsklägers um Erlass vor- sorglicher Massnahmen mit Urteil vom 11. November 2022 ab (act. 25 = act. 29 [Aktenexemplar] = act. 31).</w:t>
      </w:r>
    </w:p>
    <w:p>
      <w:r>
        <w:rPr>
          <w:b/>
        </w:rPr>
        <w:t>E. 3</w:t>
      </w:r>
    </w:p>
    <w:p>
      <w:r>
        <w:t>Es werden keine Parteientschädigungen zugesprochen.</w:t>
      </w:r>
    </w:p>
    <w:p>
      <w:r>
        <w:t>- 13 -</w:t>
      </w:r>
    </w:p>
    <w:p>
      <w:r>
        <w:rPr>
          <w:b/>
        </w:rPr>
        <w:t>E. 4</w:t>
      </w:r>
    </w:p>
    <w:p>
      <w:r>
        <w:t>Schriftliche Mitteilung an die Parteien, an den Berufungsbeklagten unter Beilage eines Doppels der Berufungsschrift (act. 30), sowie an das Einzelge- richt des Bezirksgerichtes Bülach,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Obergericht des Kantons Zürich II. Zivilkammer Die Gerichtsschreiberin: MLaw T. Rumpel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