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LF220065 vom 28. September 2022</w:t>
      </w:r>
    </w:p>
    <w:p>
      <w:r>
        <w:t>ZH Obergericht, 2022-09-28, DE</w:t>
      </w:r>
    </w:p>
    <w:p>
      <w:r>
        <w:rPr>
          <w:b/>
        </w:rPr>
        <w:t xml:space="preserve">Quelle: </w:t>
      </w:r>
      <w:r>
        <w:t>https://mcp.opencaselaw.ch/entscheid/zh_obergericht_LF220065</w:t>
      </w:r>
    </w:p>
    <w:p>
      <w:r>
        <w:t>FR: ZH_OBERGERICHT LF220065 du 28 septembre 2022</w:t>
      </w:r>
    </w:p>
    <w:p>
      <w:r>
        <w:t>IT: ZH_OBERGERICHT LF220065 del 28 settembre 2022</w:t>
      </w:r>
    </w:p>
    <w:p>
      <w:pPr>
        <w:pStyle w:val="Heading2"/>
      </w:pPr>
      <w:r>
        <w:t>Erwägungen</w:t>
      </w:r>
    </w:p>
    <w:p>
      <w:r>
        <w:rPr>
          <w:b/>
        </w:rPr>
        <w:t>E. 2</w:t>
      </w:r>
    </w:p>
    <w:p>
      <w:r>
        <w:t>Ob die Rechtsmittelklägerin mit ihrer Eingabe eine Berufung gegen die Ver- fügung der Vorinstanz vom 15. August 2022 oder lediglich eine Kostenbeschwer- de dagegen erheben wollte, kann offen bleiben. Denn für beide Rechtsmittel sieht das Gesetz in diesem Verfahren eine Frist von 10 Tagen vor (vgl. unten E. 3 und Art. 939 Abs. 2 OR i.V.m. Art. 731b Abs. 1bis OR i.V.m. Art. 1 lit. b ZPO i.V.m. Art. 248 lit. e ZPO i.V.m. Art. 314 Abs. 1 und Art. 321 Abs. 2 ZPO). Die 10-tägigen Rechtsmittelfristen liefen daher am 29. August 2022 ab (vgl. act. 9). Die Eingabe der Rechtsmittelklägerin vom 4. September 2022 erfolgte daher zu spät, was ein Nichteintreten auf das Rechtsmittel zur Folge hat.</w:t>
      </w:r>
    </w:p>
    <w:p>
      <w:r>
        <w:rPr>
          <w:b/>
        </w:rPr>
        <w:t>E. 3</w:t>
      </w:r>
    </w:p>
    <w:p>
      <w:r>
        <w:t>Bei diesem Ausgang des Verfahrens wird die Rechtsmittelklägerin kosten- pflichtig (vgl. Art. 106 Abs. 1 ZPO). Beim nicht streitigen Organisationsmängelverfahren, das vom Handelsregis- teramt gestützt auf Art. 939 OR an das Gericht überwiesen wird, handelt es sich um eine Angelegenheit der freiwilligen Gerichtsbarkeit (vgl. dazu DOMENIG/GÜR, Organisationsmangelverfahren nach Art. 731b und Art. 939 OR, in: AJP 2021, S. 168 ff, S. 172). Daran ändert sich auch im Rechtsmittelverfahren jedenfalls dann nichts, wenn dieses durch die mit dem Organisationsmangel behaftete juris- tische Person selbst (und nicht etwa durch eine allfällig legitimierte Drittperson) ergriffen wird. Dementsprechend ist die Entscheidgebühr für das vorliegende Rechtsmittelverfahren im Rahmen von § 8 Abs. 4 GebV OG (Fr. 100.– bis maxi- mal Fr. 7'000.–) in Würdigung des Streitwerts, des Zeitaufwandes und der Schwierigkeit des Falles festzusetzen (vgl. § 2 Abs. 1 lit. a, c und d sowie § 8 Abs. 4 i.V.m. § 12 Abs. 1 und 2 GebV OG). Der konkrete Streitwert in einem Or- ganisationsmängelverfahren ist pauschalisiert zu bestimmen, nämlich nach dem jeweils höchsten (bekannten) Wert aus den drei relevanten Kenngrössen von (i) nominellem Grundkapital, (ii) tatsächlichem Jahresumsatz und (iii) tatsächlich</w:t>
      </w:r>
    </w:p>
    <w:p>
      <w:r>
        <w:t>- 4 - vorhandenen Aktiva (vgl. OGer ZH LF200049 vom 11. Dezember 2020, E. IV/4.). In Bezug auf die Rechtsmittelklägerin ist hier einzig das nominelle Grundkapital (Stammkapital) bekannt. Dieses beläuft sich gemäss Auszug aus dem Handels- register des Kantons Zürich auf Fr. 20'000.– (vgl. act. 13). Ausgehend von einem Streitwert in der Höhe von Fr. 20'000.– und unter Berücksichtigung des reduzier- ten Zeitaufwandes des Gerichtes infolge Erledigung des Verfahrens durch Nicht- eintreten und der geringen Schwierigkeit des Falles, erscheint es vorliegend an- gemessen, die zweitinstanzliche Entscheidgebühr auf Fr. 300.– festzusetzen. Ei- ne Umtriebsentschädigung für die Rechtsmittelklägerin entfällt bei diesem Pro- zessausgang.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