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LF220041 vom 13. Juni 2022</w:t>
      </w:r>
    </w:p>
    <w:p>
      <w:r>
        <w:t>ZH Obergericht, 2022-06-13, DE</w:t>
      </w:r>
    </w:p>
    <w:p>
      <w:r>
        <w:rPr>
          <w:b/>
        </w:rPr>
        <w:t xml:space="preserve">Quelle: </w:t>
      </w:r>
      <w:r>
        <w:t>https://mcp.opencaselaw.ch/entscheid/zh_obergericht_LF220041</w:t>
      </w:r>
    </w:p>
    <w:p>
      <w:r>
        <w:t>FR: ZH_OBERGERICHT LF220041 du 13 juin 2022</w:t>
      </w:r>
    </w:p>
    <w:p>
      <w:r>
        <w:t>IT: ZH_OBERGERICHT LF220041 del 13 giugno 2022</w:t>
      </w:r>
    </w:p>
    <w:p>
      <w:pPr>
        <w:pStyle w:val="Heading2"/>
      </w:pPr>
      <w:r>
        <w:t>Erwägungen</w:t>
      </w:r>
    </w:p>
    <w:p>
      <w:r>
        <w:rPr>
          <w:b/>
        </w:rPr>
        <w:t>E. 1</w:t>
      </w:r>
    </w:p>
    <w:p>
      <w:r>
        <w:t>Die Berufungsklägerin, welche seit dem tt. Oktober 2007 im Handelsregister des Kantons Zürich eingetragen ist, hatte vom Steueramt Zürich am eingetrage- nen Rechtsdomizil nicht mehr erreicht werden können (act. 2/2). Zudem war die einzige vertretungsberechtigte Person gemäss Mitteilung der Einwohnerkontrolle B._____ nach Unbekannt verzogen (act. 2/4), weshalb die Vertretung in der Schweiz nicht mehr gegeben war. Nachdem die Berufungsklägerin diese Organi- sationsmängel nicht innert der vom Handelsregisteramt des Kantons Zürich ange- setzten Frist behoben hatte, gelangte dieses mit Eingabe vom 31. März 2022 an das Einzelgericht im summarischen Verfahren des Bezirksgerichtes Zürich (nach- folgend Vorinstanz) und überwies ihm die Angelegenheit in Anwendung von Art. 939 Abs. 2 und Art. 731b Abs. 1 OR sowie Art. 153 Abs. 3 HRegV (act. 1). 2.1 Nach durchgeführtem Verfahren ordnete die Vorinstanz mit Urteil vom 6. Mai 2022 die Auflösung und Liquidation der Berufungsklägerin nach den Vorschriften über den Konkurs an und beauftragte das Konkursamt Altstetten-Zürich mit dem Vollzug. Die Entscheidgebühr setzte sie auf Fr. 1'000.– fest und auferlegte diese der Berufungsklägerin (act. 5 = act. 8). Dieses Urteil wurde der Berufungsklägerin am 13. Mai 2022 zugestellt (act. 6). 2.2 Gegen diesen Entscheid erhob die Berufungsklägerin mit Eingabe vom 25. Mai 2022 (Datum Poststempel: 27. Mai 2022) Berufung (act. 9). Die vorin- stanzlichen Akten wurden beigezogen (act. 1–6). 3.1 Nach Eingang einer Klage oder eines Rechtsmittels prüft das Gericht von Amtes wegen, ob die Prozess- bzw. Rechtsmittelvoraussetzungen erfüllt sind. Dazu gehört u.a. die Einhaltung der gesetzlichen Rechtsmittelfristen. Gegen Ent- scheide im – wie hier – summarischen Verfahren beträgt die Frist für die Einrei- chung der Berufung 10 Tage (Art. 314 ZPO i.V.m. Art. 248 lit. c ZPO). Die Frist gilt dann als gewahrt, wenn die Rechtsmittelschrift am letzten Tag der Frist dem Ge- richt oder der Schweizerischen Post oder einer Schweizerischen diplomatischen bzw. konsularischen Vertretung zuhanden des Gerichts übergeben worden ist (vgl. Art. 143 Abs. 2 ZPO). Bei der Übergabe an die Schweizerische Post ist von</w:t>
      </w:r>
    </w:p>
    <w:p>
      <w:r>
        <w:t>- 3 - der widerlegbaren Vermutung auszugehen, dass das Datum des Poststempels mit demjenigen der Übergabe übereinstimmt (OFK ZPO-JENNY/JENNY, 2. Aufl. 2015, Art. 143 N 5 f.). Wird ein Rechtsmittel verspätet eingereicht, ist darauf nicht einzutreten. 3.2 Der Entscheid der Vorinstanz vom 6. Mai 2022 wurde der Berufungsklägerin am 13. Mai 2022 zugestellt (act. 6). Die zehntägige Rechtsmittelfrist endete dem- nach am Montag, dem 23. Mai 2022. Die Berufungsschrift trägt den Poststempel vom 27. Mai 2022 (act. 9) und ist damit verspätet erfolgt. Ausführungen der Beru- fungsklägerin, weshalb die Berufung verspätet erfolgte oder weshalb von einer rechtzeitig erhobenen Berufung auszugehen wäre, finden sich keine. Auf die Be- rufung ist damit nicht einzutreten.</w:t>
      </w:r>
    </w:p>
    <w:p>
      <w:r>
        <w:rPr>
          <w:b/>
        </w:rPr>
        <w:t>E. 4</w:t>
      </w:r>
    </w:p>
    <w:p>
      <w:r>
        <w:t>Ausgangsgemäss wird die Berufungsklägerin für das zweitinstanzliche Ver- fahren kostenpflichtig (Art. 106 Abs. 1 ZPO). Beim nicht streitigen Organisations- mangelverfahren, das vom Handelsregisteramt gestützt auf Art. 939 OR an das Gericht überwiesen wird, handelt es sich um eine Angelegenheit der freiwilligen Gerichtsbarkeit (vgl. dazu DOMENIG/GÜR, Organisationsmangelverfahren nach Art. 731b und Art. 939 OR, in: AJP 2021, S. 168 ff, S. 172). Daran ändert sich auch im Rechtsmittelverfahren jedenfalls dann nichts, wenn dieses durch die mit dem Organisationsmangel behaftete juristische Person selbst (und nicht etwa durch eine allfällig legitimierte Drittperson) ergriffen wird. Dementsprechend ist die Entscheidgebühr für das vorliegende Berufungsverfahren im Rahmen von § 8 Abs. 4 GebV OG (Fr. 100.– bis maximal Fr. 7'000.–) in Würdigung des Streitwerts, des Zeitaufwandes und der Schwierigkeit des Falles festzusetzen (vgl. § 2 Abs. 1 lit. a, c und d sowie § 8 Abs. 4 i.V.m. § 12 Abs. 1 und 2 GebV OG). Ausgehend von einem Streitwert in der Höhe von Fr. 20'000.– (entsprechend dem nominellen Grundkapital, vgl. act. 2/1 u. OGer ZH LF200049 vom 11. Dezember 2020, E. IV./2.) sowie unter Berücksichtigung des geringen Zeitaufwandes des Gerich- tes und der geringen Schwierigkeit des Falles erscheint es vorliegend angemes- sen, die zweitinstanzliche Entscheidgebühr auf Fr. 300.– festzusetzen. Eine Um- triebsentschädigung für die Berufungsklägerin entfällt bei diesem Prozessaus- gang von vornherein.</w:t>
      </w:r>
    </w:p>
    <w:p>
      <w:r>
        <w:t>- 4 -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