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LF220034 vom 10. Juni 2022</w:t>
      </w:r>
    </w:p>
    <w:p>
      <w:r>
        <w:t>ZH Obergericht, 2022-06-10, DE</w:t>
      </w:r>
    </w:p>
    <w:p>
      <w:r>
        <w:rPr>
          <w:b/>
        </w:rPr>
        <w:t xml:space="preserve">Quelle: </w:t>
      </w:r>
      <w:r>
        <w:t>https://mcp.opencaselaw.ch/entscheid/zh_obergericht_LF220034</w:t>
      </w:r>
    </w:p>
    <w:p>
      <w:r>
        <w:t>FR: ZH_OBERGERICHT LF220034 du 10 juin 2022</w:t>
      </w:r>
    </w:p>
    <w:p>
      <w:r>
        <w:t>IT: ZH_OBERGERICHT LF220034 del 10 giugno 2022</w:t>
      </w:r>
    </w:p>
    <w:p>
      <w:pPr>
        <w:pStyle w:val="Heading2"/>
      </w:pPr>
      <w:r>
        <w:t>Erwägungen</w:t>
      </w:r>
    </w:p>
    <w:p>
      <w:r>
        <w:rPr>
          <w:b/>
        </w:rPr>
        <w:t>E. 3</w:t>
      </w:r>
    </w:p>
    <w:p>
      <w:r>
        <w:t>In der Sache zu prüfen bleibt damit einzig die Beanstandung der Mieterin, das von der Vorinstanz gewählte Vollstreckungsmittel sei unverhältnismässig.</w:t>
      </w:r>
    </w:p>
    <w:p>
      <w:r>
        <w:rPr>
          <w:b/>
        </w:rPr>
        <w:t>E. 3.1</w:t>
      </w:r>
    </w:p>
    <w:p>
      <w:r>
        <w:t>Auf Antrag der obsiegenden Partei ordnet das Erkenntnisgericht Vollstre- ckungsmassnahmen an (Art. 236 Abs. 3 ZPO). Zu Gebote stehen die in Art. 343 Abs. 1 ZPO abschliessend aufgeführten Vollstreckungsmittel, wobei die Auswahl dem Vollstreckungsgericht ohne Bindung an einen allfälligen Antrag der gesuch- stellenden Partei überlassen bleibt (vgl. ZK ZPO-STAEHELIN, 3. Aufl., Zürich, Art. 343 N 14, m.w.H.). Die Anwendung direkten Zwanges wird gesetzlich explizit für die Räumung eines Grundstückes vorgesehen (Art. 341 Abs. 1 lit. d ZPO). Bei der Wahl des Vollstreckungsmittels ist der Grundsatz der Verhältnismässigkeit zu beachten (vgl. BGer, 4A_207/2014 vom 19. Mai 2014, E. 3.1; OGer ZH, NP170004 vom 25. April 2017, E. III./4.1), welcher sich vor allem bei Ausweisun- gen aus Wohnbauten dahingehend niederschlägt, dass unter Umständen die An- setzung einer kurzen Frist zum freiwilligen Vollzug angebracht sein kann (vgl. ausführlich BGer, 4A_389/2017 vom 26. September 2017, E. 8; OGer ZH, LF210054 vom 7. September 2021, E. 2.2). In aller Regel stellt die Räumung der betroffenen Liegenschaft jenes Zwangsmittel dar, welches im Ausweisungsverfah- ren dem Verhältnismässigkeitsgrundsatz am besten Nachachtung verschafft. Indi- rekte Zwangsmittel wie eine Strafandrohung nach Art. 292 StGB oder eine Ord- nungsbusse (Art. 341 Abs. 1 lit. a–c ZPO) dürften in den wenigsten Ausweisungs- verfahren zu einer hinreichend zeitnahen Freigabe der Liegenschaft führen und stellen daher kaum je geeignete Massnahmen dar.</w:t>
      </w:r>
    </w:p>
    <w:p>
      <w:r>
        <w:rPr>
          <w:b/>
        </w:rPr>
        <w:t>E. 3.2</w:t>
      </w:r>
    </w:p>
    <w:p>
      <w:r>
        <w:t>In grundsätzlicher Hinsicht ist das von der Vorinstanz gewählte Vollstre- ckungsmittel des direkten Zwangs daher nicht zu beanstanden. Weder vorinstanz- lich noch heute bei der Kammer brachte die Mieterin konkrete Gründe vor, welche die Wahl eines anderen Vollstreckungsmittels nahegelegt hätten bzw. heute na- helegen würden. Da es sich vorliegend um eine gewerblich genutzte Liegenschaft handelt, ist keine zusätzliche Auszugsfrist geboten. Die Mieterin beruft sich daher</w:t>
      </w:r>
    </w:p>
    <w:p>
      <w:r>
        <w:t>- 8 - vergeblich auf den Verhältnismässigkeitsgrundsatz. Ihre Berufung ist in diesem Punkt als in der Sache unbegründet abzuweisen.</w:t>
      </w:r>
    </w:p>
    <w:p>
      <w:r>
        <w:rPr>
          <w:b/>
        </w:rPr>
        <w:t>E. 4</w:t>
      </w:r>
    </w:p>
    <w:p>
      <w:r>
        <w:t>Nach dem Gesagten ist die Berufung abzuweisen, soweit auf sie einzutreten ist.</w:t>
      </w:r>
    </w:p>
    <w:p>
      <w:r>
        <w:rPr>
          <w:b/>
        </w:rPr>
        <w:t>E. 5</w:t>
      </w:r>
    </w:p>
    <w:p>
      <w:r>
        <w:t>Ausgangsgemäss wird die Mieterin kostenpflichtig (vgl. Art. 106 Abs. 1 ZPO). Ausgehend von einem Streitwert von Fr. 206'800.– (vgl. oben E. 2.1.) ist die zweitinstanzliche Gerichtsgebühr in Anwendung von § 12 Abs. 1 und 2 i.V.m. § 4 Abs. 1 und Abs. 3 und § 8 Abs. 1 GebV OG auf Fr. 2'000.– festzusetzen. Für das Berufungsverfahren sind keine Parteientschädigungen zuzusprechen, der Mieterin nicht zufolge ihres Unterliegens, dem Vermieter nicht mangels Aufwand, der zu entschädigen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