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LF210090 vom 4. Februar 2022</w:t>
      </w:r>
    </w:p>
    <w:p>
      <w:r>
        <w:t>ZH Obergericht, 2022-02-04, DE</w:t>
      </w:r>
    </w:p>
    <w:p>
      <w:r>
        <w:rPr>
          <w:b/>
        </w:rPr>
        <w:t xml:space="preserve">Quelle: </w:t>
      </w:r>
      <w:r>
        <w:t>https://mcp.opencaselaw.ch/entscheid/zh_obergericht_LF210090</w:t>
      </w:r>
    </w:p>
    <w:p>
      <w:r>
        <w:t>FR: ZH_OBERGERICHT LF210090 du 4 février 2022</w:t>
      </w:r>
    </w:p>
    <w:p>
      <w:r>
        <w:t>IT: ZH_OBERGERICHT LF210090 del 4 febbraio 2022</w:t>
      </w:r>
    </w:p>
    <w:p>
      <w:pPr>
        <w:pStyle w:val="Heading2"/>
      </w:pPr>
      <w:r>
        <w:t>Erwägungen</w:t>
      </w:r>
    </w:p>
    <w:p>
      <w:r>
        <w:rPr>
          <w:b/>
        </w:rPr>
        <w:t>E. 1.1</w:t>
      </w:r>
    </w:p>
    <w:p>
      <w:r>
        <w:t>A._____ ist Mieter und die Stadt Winterthur ist Vermieterin der 3- Zimmerwohnung im Erdgeschoss an der B._____-strasse ... in ...Winterthur samt zugehörigem Kellerabteil (vgl. act. 2/1). Mit Einschreiben vom 27. August 2021 kündigte die Vermieterin das Mietverhältnis gestützt auf Art. 257d OR per 30. September 2021 (vgl. act. 2/4). Der Mieter verblieb in der Wohnung. Am</w:t>
      </w:r>
    </w:p>
    <w:p>
      <w:r>
        <w:rPr>
          <w:b/>
        </w:rPr>
        <w:t>E. 1.2</w:t>
      </w:r>
    </w:p>
    <w:p>
      <w:r>
        <w:t>Dagegen erhob die Vermieterin am 19. November 2021 rechtzeitig Beru- fung beim Obergericht (vgl. act. 15). Die vorinstanzlichen Akten wurden beigezo- gen (act. 1-12). Den verlangten Kostenvorschuss zahlte die Vermieterin zwar erst nach Ablauf der Frist (vgl. act. 19 f.). Da ihr aber ohnehin eine Nachfrist im Sinne von Art. 101 Abs. 3 ZPO anzusetzen gewesen wäre, schadet ihr das nicht. Mit Verfügung vom 11. Januar 2022 wurde dem Mieter Frist angesetzt, um die Beru- fung zu beantworten (vgl. act. 21). Am 24. Januar 2022 und damit innert Frist</w:t>
      </w:r>
    </w:p>
    <w:p>
      <w:r>
        <w:t>- 4 - reichte der Mieter ein Schreiben ein (vgl. act. 22 und 23). Die Sache erweist sich als spruchreif.</w:t>
      </w:r>
    </w:p>
    <w:p>
      <w:r>
        <w:rPr>
          <w:b/>
        </w:rPr>
        <w:t>E. 1.3</w:t>
      </w:r>
    </w:p>
    <w:p>
      <w:r>
        <w:t>Da sich der vorliegende Prozess im Wesentlichen um die Frage dreht, ob das Mietverhältnis als beendet zu gelten hat, ist für die Berechnung des Streit- werts vom Mietwert für drei Jahre auszugehen (vgl. BGE 144 III 346). Der monat- liche Mietzins beläuft sich auf Fr. 1'305.– (vgl. act. 2/1). Der Streitwert liegt damit über Fr. 10'000.–, weshalb gegen den vorinstanzlichen Entscheid das Rechtsmit- tel der Berufung gegeben ist (vgl. Art. 308 Abs. 2 ZPO). Mit der Berufung können die unrichtige Rechtsanwendung und die unrichtige Feststellung des Sachverhalts geltend gemacht werden (vgl. Art. 310 ZPO). 2. 2.1. Die Vorinstanz erwog insbesondere das Folgende: Der Mieter habe in sei- ner Stellungnahme eingewendet, er sei jetzt wieder erwerbstätig und habe bereits wieder eine Miete bezahlt. Anhaltspunkte, dass die Vermieterin diese neue, vom Mieter behauptete Zahlung nicht vorbehaltlos entgegengenommen habe, seien den Akten nicht zu entnehmen. Diese Behauptung sei zwar vom Mieter nicht be- legt worden, erscheine aber per se schlüssig und hätte von der Vermieterin mit- tels Urkunde sofort widerlegt werden können, sollte die Behauptung nicht der Wahrheit entsprechen. Der Umstand, dass die Vermieterin nicht bestreite, eine Mietzinszahlung auch noch nach der von ihr ins Feld geführten Kündigung per Ende September 2021 erhalten bzw. kommentarlos entgegengenommen zu ha- ben, werfe die Frage auf, ob dadurch zwischen den Parteien ein neuer Mietver- trag entstanden bzw. das bestehende Mietverhältnis weitergeführt worden sei. Die Beurteilung dieser Frage setze indes eine umfassende Würdigung des Sachver- halts voraus, was den Anwendungsbereich des Rechtsschutzes in klaren Fällen jedoch deutlich übersteige (act. 14 E. III.4.3.-4.4.). 2.2. Die Vermieterin erklärte in der Berufung neu, sie bestreite nicht, dass sie am 7. Oktober 2021 und am 10. November 2021 Mietzinszahlungen erhalten ha- be. Sie habe dem Mieter jeweils per Einschreiben die Zahlungseingänge bestätigt und darauf hingewiesen, dass sie die Zahlung nicht als Mietzins, sondern als</w:t>
      </w:r>
    </w:p>
    <w:p>
      <w:r>
        <w:t>- 5 - Schadenersatz entgegengenommen habe (act. 15). Zusammen mit der Berufung reichte sie die beiden Einschreiben mit entsprechendem Inhalt ins Recht (act. 17/1-2). Zu diesen Noven schrieb sie, es sei ihr nicht bewusst gewesen, dass sie diese Schreiben dem Bezirksgericht zustellen müsse (act. 15). Dies hätte sie auch nicht tun müssen: Die Kündigung wurde hier nicht innert Frist angefoch- ten, weshalb im vorinstanzlichen Verfahren der Verhandlungsgrundsatz galt (vgl. BGer 4A_184/2015 vom 11. August 2015 E. 4.2.2. und OGer ZH PF190021 vom</w:t>
      </w:r>
    </w:p>
    <w:p>
      <w:r>
        <w:rPr>
          <w:b/>
        </w:rPr>
        <w:t>E. 6</w:t>
      </w:r>
    </w:p>
    <w:p>
      <w:r>
        <w:t>Oktober 2021 stellte die Vermieterin beim Einzelgericht des Bezirksgericht Win- terthur (nachfolgend Vorinstanz) ein Gesuch um Rechtsschutz in klaren Fällen und verlangte die unverzügliche Ausweisung des Mieters (vgl. act. 1). Nach Durchführung des Verfahrens trat die Vorinstanz mit Verfügung vom 12. Novem- ber 2021 auf das Gesuch nicht ein (vgl. act. 14).</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46'980.–. Die Beschwerde an das Bundesgericht hat keine aufschiebende Wirkung. Obergericht des Kantons Zürich II. Zivilkammer i.V. Die Gerichtsschreiberin: lic. iur. S. Kröger versandt am: 4.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