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LF200068 vom 19. Januar 2021</w:t>
      </w:r>
    </w:p>
    <w:p>
      <w:r>
        <w:t>ZH Obergericht, 2021-01-19, DE</w:t>
      </w:r>
    </w:p>
    <w:p>
      <w:r>
        <w:rPr>
          <w:b/>
        </w:rPr>
        <w:t xml:space="preserve">Quelle: </w:t>
      </w:r>
      <w:r>
        <w:t>https://mcp.opencaselaw.ch/entscheid/zh_obergericht_LF200068</w:t>
      </w:r>
    </w:p>
    <w:p>
      <w:r>
        <w:t>FR: ZH_OBERGERICHT LF200068 du 19 janvier 2021</w:t>
      </w:r>
    </w:p>
    <w:p>
      <w:r>
        <w:t>IT: ZH_OBERGERICHT LF200068 del 19 gennaio 2021</w:t>
      </w:r>
    </w:p>
    <w:p>
      <w:pPr>
        <w:pStyle w:val="Heading2"/>
      </w:pPr>
      <w:r>
        <w:t>Erwägungen</w:t>
      </w:r>
    </w:p>
    <w:p>
      <w:r>
        <w:rPr>
          <w:b/>
        </w:rPr>
        <w:t>E. 1</w:t>
      </w:r>
    </w:p>
    <w:p>
      <w:r>
        <w:t>Der Berufungskläger ist der Bruder des am tt.mm.2020 verstorbenen B._____ (nachfolgend: Erblasser). Die letztwillige Verfügung des Erblassers vom 18. Oktober 2016 – samt Ergänzung vom 21. Oktober 2016 – eröffnete das Einzelgericht in Erbschaftssachen des Bezirksgerichts Winterthur mit Urteil vom 21. Dezember 2020 (act. 3 = act. 8).</w:t>
      </w:r>
    </w:p>
    <w:p>
      <w:r>
        <w:rPr>
          <w:b/>
        </w:rPr>
        <w:t>E. 2</w:t>
      </w:r>
    </w:p>
    <w:p>
      <w:r>
        <w:t>Hiergegen gelangte der Berufungskläger mit Berufungsschrift vom 24. Dezember 2020 (act. 9) an die Kammer, zog seine Berufung jedoch mit Eingabe vom 11. Januar 2021 (act. 12) wieder zurück.</w:t>
      </w:r>
    </w:p>
    <w:p>
      <w:r>
        <w:rPr>
          <w:b/>
        </w:rPr>
        <w:t>E. 3</w:t>
      </w:r>
    </w:p>
    <w:p>
      <w:r>
        <w:t>Es werden keine Parteientschädigungen zugesprochen.</w:t>
      </w:r>
    </w:p>
    <w:p>
      <w:r>
        <w:rPr>
          <w:b/>
        </w:rPr>
        <w:t>E. 4</w:t>
      </w:r>
    </w:p>
    <w:p>
      <w:r>
        <w:t>Schriftliche Mitteilung an den Berufungskläger sowie an die Vorinstanz, je gegen Empfangsschein. Nach unbenutztem Ablauf der Rechtsmittelfrist gehen die erstinstanzlichen Akten an die Vorinstanz zurück.</w:t>
      </w:r>
    </w:p>
    <w:p>
      <w:r>
        <w:t>- 3 -</w:t>
      </w:r>
    </w:p>
    <w:p>
      <w:r>
        <w:rPr>
          <w:b/>
        </w:rPr>
        <w:t>E. 5</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63'000.–.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Der Gerichtsschreiber.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