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LF200040 vom 4. August 2020</w:t>
      </w:r>
    </w:p>
    <w:p>
      <w:r>
        <w:t>ZH Obergericht, 2020-08-04, DE</w:t>
      </w:r>
    </w:p>
    <w:p>
      <w:r>
        <w:rPr>
          <w:b/>
        </w:rPr>
        <w:t xml:space="preserve">Quelle: </w:t>
      </w:r>
      <w:r>
        <w:t>https://mcp.opencaselaw.ch/entscheid/zh_obergericht_LF200040</w:t>
      </w:r>
    </w:p>
    <w:p>
      <w:r>
        <w:t>FR: ZH_OBERGERICHT LF200040 du 4 août 2020</w:t>
      </w:r>
    </w:p>
    <w:p>
      <w:r>
        <w:t>IT: ZH_OBERGERICHT LF200040 del 4 agosto 2020</w:t>
      </w:r>
    </w:p>
    <w:p>
      <w:pPr>
        <w:pStyle w:val="Heading2"/>
      </w:pPr>
      <w:r>
        <w:t>Erwägungen</w:t>
      </w:r>
    </w:p>
    <w:p>
      <w:r>
        <w:rPr>
          <w:b/>
        </w:rPr>
        <w:t>E. 1.1</w:t>
      </w:r>
    </w:p>
    <w:p>
      <w:r>
        <w:t>B._____, geboren am tt. März 1929, wohnhaft gewesen in C._____, verstarb am tt.mm.2018 in D._____. Daraufhin liess das Notariat C._____ dem Einzelge- richt in Erbschaftssachen des Bezirksgerichtes Horgen je eine eigenhändige letztwillige Verfügung des Erblassers vom 31. Dezember 2003 und vom 25. Mai 2009 zukommen (vgl. act. 3).</w:t>
      </w:r>
    </w:p>
    <w:p>
      <w:r>
        <w:rPr>
          <w:b/>
        </w:rPr>
        <w:t>E. 1.2</w:t>
      </w:r>
    </w:p>
    <w:p>
      <w:r>
        <w:t>Mit eigenhändiger letztwilliger Verfügung vom 25. Mai 2009 hatte der Erb- lasser – nebst vier weiteren Personen – E._____ bzw. für den Fall von dessen Vorversterben dessen Nachkommen in allen Graden nach Stämmen als Ersatz- erben eingesetzt (vgl. Ziff. 4d der letztwilligen Verfügung des Erblassers vom 25. Mai 2009, angeheftet an act. 3).</w:t>
      </w:r>
    </w:p>
    <w:p>
      <w:r>
        <w:rPr>
          <w:b/>
        </w:rPr>
        <w:t>E. 1.3</w:t>
      </w:r>
    </w:p>
    <w:p>
      <w:r>
        <w:t>Mit Urteil vom 29. Mai 2020 eröffnete das Einzelgericht in Erbschaftssachen des Bezirksgerichtes Horgen (fortan Vorinstanz) die beiden vorgenannten letztwil- ligen Verfügungen. In diesem Zusammenhang tätigte die Vorinstanz umfangrei- che Nachforschungen hinsichtlich allfälliger Nachkommen aus der grosselterli- chen Parentel väterlicherseits und mütterlicherseits, welche indes teilweise erfolg- los blieben. Als gesetzliche Erben des Erblassers aus grosselterlicher Parentel mütterlicherseits ermitteln konnte die Vorinstanz gemäss den Erwägungen (act. 3 E. I./2.) aber F._____ sowie – anstelle des im Jahr 2010 vorverstorbenen E._____ – dessen Nachkommen, nämlich: 1) G._____, geb. tt. September 1948, von H._____ [Staat in Europa], I._____-weg …, J._____ [Stadt], H._____; 2) A._____, geb. tt. März 1952, von H._____, K._____-strasse …, L._____ [Stadt], H._____; 3) M._____, geb. tt. März 1952, von H._____, N._____-strasse …, O._____ [Stadt], H._____.</w:t>
      </w:r>
    </w:p>
    <w:p>
      <w:r>
        <w:t>- 3 - In E. III./2. qualifizierte die Vorinstanz in provisorischer Auslegung der letztwilligen Verfügungen des Erblassers vom 31. Dezember 2003 und vom 25. Mai 2009 wei- ter die folgenden Personen als eingesetzte Erben: 1) P._____, geb. tt. Mai 1948, von Q._____ [Staat in Europa], R._____ [Strasse] …, S._____ [Stadt], Q._____; 2) T._____, geb. tt. Mai 1950, von Q._____, U._____ [Strasse] …., V._____ [Stadt], Q._____; 3) W._____, geb. tt. Mai 1947, von AA._____ [Stadt], AB._____-strasse …, AA._____; 4) AC._____, geb. tt. September 1944, von Q._____, AD._____ [Strasse] …, V._____, Q._____. Im Dispositiv des Urteils vom 29. Mai 2020 hielt die Vorinstanz dementsprechend fest, als eingesetzte Erben kämen die in E. III der Erwägungen aufgeführten Per- sonen (namentlich P._____, T._____, W._____ und AC._____) in Betracht (vgl. act. 3, Dispositivziffer 4) und stellte diesen (auf schriftliches Verlangen) das Aus- stellen einer Erbbescheinigung in Aussicht (act. 3, Dispositivziffer 7). Das Urteil vom 29. Mai 2020 teilte die Vorinstanz den ermittelten gesetzlichen und einge- setzten Erben sowie diversen Vermächtnisnehmern mit. Die Mitteilung an allfällige weitere gesetzliche Erben sowie die Eröffnung der Einsprachefrist gemäss Art. 559 ZGB erfolgte mittels Publikation des Entscheides im Amtsblatt des Kantons Zürich (act. 3, E. II./2.).</w:t>
      </w:r>
    </w:p>
    <w:p>
      <w:r>
        <w:rPr>
          <w:b/>
        </w:rPr>
        <w:t>E. 1.4</w:t>
      </w:r>
    </w:p>
    <w:p>
      <w:r>
        <w:t>Gegen diesen vorinstanzlichen Entscheid vom 29. Mai 2020 erhob A._____ (fortan Berufungsklägerin) mit Eingabe vom 23. Juni 2020 rechtzeitig Berufung (vgl. act. 2 = act. 5; zur Rechtzeitigkeit vgl. act. 7). Damit beantragt sie, der vo- rinstanzliche Entscheid sei dahingehend abzuändern, dass auch die Nachkom- men des E._____ als eingesetzte Erben in Betracht kämen (act. 2 = act. 5). Die- sen Antrag begründet die Berufungsklägerin sinngemäss damit, die Vorinstanz habe zwar sie selbst, G._____ und M._____ als gesetzliche Erben des Erblassers als Nachkommen des E._____ festgestellt, nicht jedoch auch als (zugleich) ein-</w:t>
      </w:r>
    </w:p>
    <w:p>
      <w:r>
        <w:t>- 4 - gesetzte Erben des Erblassers. Dies unter Missachtung der vom Erblasser mit letztwilliger Verfügung vom 25. Mai 2009 getroffenen Anordnung, wonach E._____ bzw. seine Nachkommen (zusammen mit vier weiteren Erben) als Er- be(n) des gesamten Nachlasses eingesetzt worden sei(en) (vgl. act. 2 = act. 5).</w:t>
      </w:r>
    </w:p>
    <w:p>
      <w:r>
        <w:rPr>
          <w:b/>
        </w:rPr>
        <w:t>E. 1.5</w:t>
      </w:r>
    </w:p>
    <w:p>
      <w:r>
        <w:t>Inzwischen hat die Vorinstanz ihr Urteil vom 29. Mai 2020 mit Verfügung vom 30. Juni 2020 gestützt auf Art. 334 ZPO berichtigt und zwar in dem Sinne, dass bei provisorischer Auslegung der letztwilligen Verfügungen des Erblassers sowohl die gesetzlichen Erben A._____ (hiesige Berufungsklägerin), G._____ und M._____ (alle als Nachkommen des vorverstorbenen E._____) als auch die weite- ren in Ziff. 4 der letztwilligen Verfügung des Erblassers vom 25. Mai 2009 genann- ten Personen als eingesetzte Erben des Erblassers gelten bzw. zu qualifizieren seien (vgl. act. 6). Dementsprechend wurden Ziffer III./2. der Erwägungen des Testamentseröffnungsurteils vom 29. Mai 2020 sowie dessen Dispositivziffern 7 und 10 angepasst (vgl. act. 6, Dispositivziffern 1–3).</w:t>
      </w:r>
    </w:p>
    <w:p>
      <w:r>
        <w:rPr>
          <w:b/>
        </w:rPr>
        <w:t>E. 1.6</w:t>
      </w:r>
    </w:p>
    <w:p>
      <w:r>
        <w:t>Auf den Beizug der gesamten vorinstanzlichen Akten wurde angesichts der bereits erfolgten Berichtigung durch die Vorinstanz verzichtet. Die act. 3 und act. 7 wurden von Amtes wegen beigezogen.</w:t>
      </w:r>
    </w:p>
    <w:p>
      <w:r>
        <w:rPr>
          <w:b/>
        </w:rPr>
        <w:t>E. 2.1</w:t>
      </w:r>
    </w:p>
    <w:p>
      <w:r>
        <w:t>Zulässigkeitsvoraussetzung eines jeden Rechtsmittels ist die Beschwer; sie ist für das Rechtsmittelverfahren das von Amtes wegen zu beachtende Pendant zum Rechtsschutzinteresse im erstinstanzlichen Verfahren, welches eine Pro- zessvoraussetzung darstellt (vgl. Art. 59 Abs. 2 lit. a ZPO). Das Erfordernis der Beschwerde hat die Wirkung, dass nur derjenige zur Erhebung eines Rechtsmit- tels befugt ist, der ein von der Rechtsordnung geschütztes, d.h. ein schutzwürdi- ges Interesse (tatsächlicher oder rechtlicher Natur) an der Abänderung des erst- instanzlichen Entscheides besitzt (vgl. BGE 120 II 5 E. 2a; ZK ZPO-REETZ, 3. A., Zürich/Basel/Genf 2016, Vor Art. 308–318 N 30).</w:t>
      </w:r>
    </w:p>
    <w:p>
      <w:r>
        <w:rPr>
          <w:b/>
        </w:rPr>
        <w:t>E. 2.2</w:t>
      </w:r>
    </w:p>
    <w:p>
      <w:r>
        <w:t>Nachdem die Vorinstanz ihr Urteil vom 29. Mai 2020 mit Verfügung vom 30. Juni 2020 (act. 6) bereits dahingehend berichtigt hat, dass dieses nunmehr</w:t>
      </w:r>
    </w:p>
    <w:p>
      <w:r>
        <w:t>- 5 - vollumfänglich dem Berufungsantrag der Berufungsklägerin entspricht, ist die Be- rufungsklägerin durch den (berichtigten) vorinstanzlichen Entscheid nicht mehr beschwert. Zufolge Wegfalls der Beschwer ist auf die Berufung der Berufungsklä- gerin nicht einzutreten.</w:t>
      </w:r>
    </w:p>
    <w:p>
      <w:r>
        <w:rPr>
          <w:b/>
        </w:rPr>
        <w:t>E. 2.3</w:t>
      </w:r>
    </w:p>
    <w:p>
      <w:r>
        <w:t>Auf das Erheben von Kosten für das bereits angelegte Berufungsverfahren ist unter den gegebenen Umständen zu verzichten. Mangels Antrags ist keine Partei-/Umtriebsentschädigung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