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LF200023 vom 29. April 2020</w:t>
      </w:r>
    </w:p>
    <w:p>
      <w:r>
        <w:t>ZH Obergericht, 2020-04-29, DE</w:t>
      </w:r>
    </w:p>
    <w:p>
      <w:r>
        <w:rPr>
          <w:b/>
        </w:rPr>
        <w:t xml:space="preserve">Quelle: </w:t>
      </w:r>
      <w:r>
        <w:t>https://mcp.opencaselaw.ch/entscheid/zh_obergericht_LF200023</w:t>
      </w:r>
    </w:p>
    <w:p>
      <w:r>
        <w:t>FR: ZH_OBERGERICHT LF200023 du 29 avril 2020</w:t>
      </w:r>
    </w:p>
    <w:p>
      <w:r>
        <w:t>IT: ZH_OBERGERICHT LF200023 del 29 aprile 2020</w:t>
      </w:r>
    </w:p>
    <w:p>
      <w:pPr>
        <w:pStyle w:val="Heading2"/>
      </w:pPr>
      <w:r>
        <w:t>Erwägungen</w:t>
      </w:r>
    </w:p>
    <w:p>
      <w:r>
        <w:rPr>
          <w:b/>
        </w:rPr>
        <w:t>E. 1</w:t>
      </w:r>
    </w:p>
    <w:p>
      <w:r>
        <w:t>A._____ (nachfolgend Beschwerdeführerin) mietete per 1. Dezember 2013 mit Vertrag vom 28. bzw. 30. Oktober 2013 von der Pensionskasse B._____ eine 2.5-Zimmerwohnung im 4. Stock samt Keller Nr. 4.1 in der Liegenschaft C._____-strasse … in … Zürich zu einem monatlichen Bruttomietzins von Fr. 1'670.–. Vereinbart wurde eine Kündigungsfrist von drei Monaten und die Kündigung war ausser Dezember auf jedes Monatsende möglich (act. 3/1). Mit Schreiben vom 25. September 2019 kündigte A._____ den Mietvertrag per 30. September 2019. Im Kündigungsschreiben führte sie aus, wie telefo- nisch besprochen und abgeklärt, sei die Miete bis 30. Dezember 2019 zu begleichen. Sie bat um frühstmögliche Information über den Wohnungsab- gabetermin und Weiteres (act. 3/2). Die Vermieterin nahm diese Kündigung per Ende Januar 2020 entgegen (act. 1 Rz 5). Mit Schreiben vom 20. Januar 2020 wandte sich die Liegenschaftsverwaltung D._____ AG unter Bezug- nahme auf das Kündigungsschreiben an die Mieterin und führte aus, sie hät- ten in der Zwischenzeit mehrmals vergeblich versucht, sie telefonisch und per E-Mail zu erreichen. Auf ihre Aufforderung vom 17. Dezember 2019 ha- be sie nicht reagiert und ihnen keine Besichtigungsmöglichkeiten, wie telefo- nisch besprochen bekannt gegeben. Aufgrund dessen hätten sie im An- schluss zwei fixe Besichtigungsdaten inseriert und ihr per E-Mail kommuni- ziert. Beide Termine seien durch sie nicht eingehalten worden. Sie würden bis zum 22. Januar 2020 erneut ihre Mitteilung betreffend Besichtigungs- möglichkeiten erwarten. Sollte sie dieser Aufforderung nicht Folge leisten, würden sie sie für die Kosten im Zusammenhang mit der verzögerten Wei- tervermietung sowie daraus resultierenden Leerstandskosten haftbar ma- chen. Die Rückgabe des oben erwähnten Mietobjektes finde am Montag, 3. Februar 2020 um 10.30 Uhr statt. An diesem Termin müsse das Objekt voll- ständig geräumt und sauber gereinigt sein. Sollte sie diesen Abnahmetermin nicht einhalten, würden sie umgehend Ausweisung, bei welcher die Polizei vor Ort sein werde, beantragen (act. 3/3). Mit Eingabe vom 20. Februar 2020 gelangte die Vermieterin an das Einzelgericht Audienz des Bezirksgerichtes</w:t>
      </w:r>
    </w:p>
    <w:p>
      <w:r>
        <w:t>- 3 - Zürich und verlangte die Ausweisung der Mieterin aus der 2.5- Zimmerwohnung mit entsprechenden Vollstreckungsanordnungen, unter Kosten- und Entschädigungsfolgen (zuzüglich 7.7% Mehrwertsteuer) zu Las- ten der Beklagten (act. 1). Mit Verfügung vom 21. Februar 2020 wurde der Mieterin Frist zur Stellungnahme zum Gesuch angesetzt (act. 4). Da sich diese innert Frist nicht vernehmen liess, blieb die Sachdarstellung der Ver- mieterin unbestritten und die Vorinstanz entschied gestützt auf die Akten. Mit Urteil vom 17. März 2020 wurde die Gesuchsgegnerin und Mieterin verur- teilt, die von ihr gemietete 2.5-Zimmer-Wohnung, 4. Obergeschoss, inkl. Kel- lerabteil, in der Liegenschaft C._____-strasse …, … Zürich, zu räumen und der Gesuchstellerin und Vermieterin unverzüglich ordnungsgemäss geräumt und gereinigt zu übergeben (act. 10, Dispositiv-Ziffer. 1). Das Stadtamman- namt Zürich … wurde angewiesen, Dispositiv-Ziffer 1 des mit einer Vollstre- ckungsbescheinigung versehenen Entscheids auf Verlangen der Gesuch- stellerin zu vollstrecken (Dispositiv-Ziffer 2). Die Entscheidgebühr von Fr. 1'150.– wurde der Gesuchsgegnerin auferlegt. Sie wurde von der Gesuch- stellerin bezogen, ist ihr aber von der Gesuchsgegnerin zu ersetzen (Dispo- sitiv-Ziffer 3). Ferner wurde die Gesuchsgegnerin verpflichtet, der Gesuch- stellerin eine Parteientschädigung von Fr. 1'292.– zu bezahlen (Dispositiv- Ziffer 4). Der Entscheid wurde der Beschwerdeführerin am 23. März 2020 zugestellt (act. 7b) und nicht erst am 24. März 2020, wovon die Beschwerde- führerin ausgeht (act. 11). Mit Eingabe vom 30. März 2020 (Poststempel) er- hob die Beschwerdeführerin innert der Rechtsmittelfrist Berufung und ver- langte, sie sei weder zur Bezahlung der Entscheidgebühr noch der Prozess- entschädigung zu verpflichten (act. 11 S. 2).</w:t>
      </w:r>
    </w:p>
    <w:p>
      <w:r>
        <w:rPr>
          <w:b/>
        </w:rPr>
        <w:t>E. 2</w:t>
      </w:r>
    </w:p>
    <w:p>
      <w:r>
        <w:t>a) Die Akten des erstinstanzlichen Verfahrens wurden beigezogen (act. 1-8). Ein Kostenvorschuss wurde nicht eingeholt (Art. 98 ZPO) und von der Einho- lung einer Beschwerdeantwort wurde abgesehen (Art. 322 Abs. 1 ZPO). Das Verfahren ist spruchreif. b) Da sich ihre Eingabe nur gegen die Kostenfolgen (Kostenauflage und Prozessentschädigung) richtet und der Kostenentscheid selbstständig nur</w:t>
      </w:r>
    </w:p>
    <w:p>
      <w:r>
        <w:t>- 4 - mit Beschwerde anfechtbar ist (vgl. Art. 319 lit. b Ziff. 1 i.V.m. Art. 110 ZPO), ist die Eingabe als Beschwerde entgegen zu nehmen.</w:t>
      </w:r>
    </w:p>
    <w:p>
      <w:r>
        <w:rPr>
          <w:b/>
        </w:rPr>
        <w:t>E. 3</w:t>
      </w:r>
    </w:p>
    <w:p>
      <w:r>
        <w:t>Mit der Beschwerde gegen den Kostenentscheid können die unrichtige Rechtsanwendung und die offensichtlich unrichtige Feststellung des Sach- verhaltes geltend gemacht werden (Art. 320 ZPO). Die Beschwerdeinstanz prüft den angefochtenen Entscheid auch auf seine Angemessenheit hin (vgl. Art. 320 lit. a ZPO), greift aber nur mit einer gewissen Zurückhaltung in einen wohl überlegten und vertretbaren Ermessensentscheid der Vorinstanz ein (vgl. ZR 111 [2012] Nr. 53 S. 161 f. E. 3). Mit anderen Worten ist nur in ein- deutigen Fällen von Ermessensmissbrauch oder -überschreitung einzu- schreiten (vgl. auch BK ZPO-STERCHI, Art. 320 N 3). Im Beschwerdeverfah- ren sind neue Anträge, neue Tatsachenbehauptungen und neue Beweismit- tel ausgeschlossen (Art. 326 Abs. 1 ZPO).</w:t>
      </w:r>
    </w:p>
    <w:p>
      <w:r>
        <w:rPr>
          <w:b/>
        </w:rPr>
        <w:t>E. 4</w:t>
      </w:r>
    </w:p>
    <w:p>
      <w:r>
        <w:t>a) Die Vorinstanz hiess, wie bereits erwähnt, das Ausweisungsbegehren gut. Zu den Nebenfolgen erwog die Vorinstanz, bei diesem Ausgang des Verfah- rens seien die Kosten der Gesuchsgegnerin aufzuerlegen (Art. 106 Abs. 1 ZPO). Sie seien praxisgemäss von der Gesuchstellerin zu beziehen, ihr aber von der Gesuchsgegnerin zu ersetzen. Ferner sei sie antragsgemäss zu verpflichten, der Gesuchstellerin eine Parteientschädigung zu bezahlen. Die Parteientschädigung enthalte die gesetzliche Mehrwertsteuer (act. 10 Erw. 4). b) Die Beschwerdeführerin beantragt sinngemäss, es sei der angefochtene Kostenentscheid aufzuheben und die vorinstanzliche Entscheidgebühr voll- umfänglich der Vermieterin aufzuerlegen. Zur Begründung führt sie im We- sentlichen aus, das Vorgehen der Verwaltung sei unprofessionell. 10 Tage nach der Kündigung habe sie mit Frau E._____ von der Liegenschaftsver- waltung telefoniert, sich nach dem Eingang des Kündigungsschreibens er- kundigt und ihre neue Telefonnummer und E-Mailadresse bekannt gegeben. Frau E._____ habe ihr mitgeteilt, dass sie die Wohnung erst per 31. Januar 2020 abgeben könne und sie - die Beschwerdeführerin - habe um eine früh- zeitige Mitteilung der möglichen Termine für die Abgabe der Wohnung gebe-</w:t>
      </w:r>
    </w:p>
    <w:p>
      <w:r>
        <w:t>- 5 - ten. Im Januar 2020 habe sie nichts mehr von der Liegenschaftsverwaltung gehört, weshalb sie der Auffassung gewesen sei, dass die Wohnungsabga- be für die Firma nicht mehr dringend gewesen sei und sie habe abgewartet. Sie sei sehr überrascht gewesen, als sie eine Verfügung, datierend vom 21. Februar 2020, vom Bezirksgericht erhalten habe, da ihre Wohnung zu die- sem Zeitpunkt bereits leer gestanden habe. Daraufhin habe sie mit dem zu- ständigen Sachbearbeiter der Liegenschaftsverwaltung Kontakt aufgenom- men. Sie hätten vereinbart, dass die Wohnungs- und Schlüsselübergabe am</w:t>
      </w:r>
    </w:p>
    <w:p>
      <w:r>
        <w:rPr>
          <w:b/>
        </w:rPr>
        <w:t>E. 9</w:t>
      </w:r>
    </w:p>
    <w:p>
      <w:r>
        <w:t>Ausgangsgemäss hat die Beschwerdeführerin die Kosten für das Rechtsmit- telverfahren zu tragen (Art. 106 Abs. 1 ZPO). Grundlage für die Festsetzung der Gerichtskosten bilden der Streitwert bzw. das tatsächliche Streitinteres- se, der Zeitaufwand des Gerichts und die Schwierigkeit des Falls (§ 2 Abs. 1 GebV OG). In zweiter Instanz wird die Entscheidgebühr nach Mass- gabe dessen, was vor der Rechtsmittelinstanz noch im Streit liegt, bestimmt (§ 12 Abs. 2 GebV OG). Vorliegend beträgt der Streitwert Fr. 2'442.– (Fr. 1'150.– Entscheidgebühr zuzügl. Fr. 1'292.– Parteientschädigung). In Anwendung von §§ 4 Abs. 1, 8 Abs. 1 und 12 Abs. 1 und 2 GebV OG ist die Entscheidgebühr für das Beschwerdeverfahren auf Fr. 300.– festzulegen. Mangels Umtrieben ist der Beschwerdegegnerin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