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LF190049 vom 2. Oktober 2019</w:t>
      </w:r>
    </w:p>
    <w:p>
      <w:r>
        <w:t>ZH Obergericht, 2019-10-02, DE</w:t>
      </w:r>
    </w:p>
    <w:p>
      <w:r>
        <w:rPr>
          <w:b/>
        </w:rPr>
        <w:t xml:space="preserve">Quelle: </w:t>
      </w:r>
      <w:r>
        <w:t>https://mcp.opencaselaw.ch/entscheid/zh_obergericht_LF190049</w:t>
      </w:r>
    </w:p>
    <w:p>
      <w:r>
        <w:t>FR: ZH_OBERGERICHT LF190049 du 2 octobre 2019</w:t>
      </w:r>
    </w:p>
    <w:p>
      <w:r>
        <w:t>IT: ZH_OBERGERICHT LF190049 del 2 ottobre 2019</w:t>
      </w:r>
    </w:p>
    <w:p>
      <w:pPr>
        <w:pStyle w:val="Heading2"/>
      </w:pPr>
      <w:r>
        <w:t>Erwägungen</w:t>
      </w:r>
    </w:p>
    <w:p>
      <w:r>
        <w:rPr>
          <w:b/>
        </w:rPr>
        <w:t>E. 10</w:t>
      </w:r>
    </w:p>
    <w:p>
      <w:r>
        <w:t>September 2019 rechtzeitig Berufung (act. 30; act. 29 [= act. 31 = act. 26]; zur Rechtzeitigkeit vgl. act. 27/2). Mit Verfügung vom 20. September 2019 wurde dem Berufungskläger Frist zur Leistung eines Kostenvorschusses für das Berufungs- verfahren angesetzt (act. 33). Mit Schreiben vom 25. September 2019 zog der Berufungskläger die Berufung zurück (act. 35). Unter diesen Umständen ist auf die Ansetzung einer Nachfrist zur Leistung des verlangten Kostenvorschusses zu verzichten. Das Verfahren ist abzuschreiben. Ausgangsgemäss sind die Prozesskosten des Rechtsmittelverfahrens dem Beru- fungskläger aufzuerlegen (Art. 106 Abs. 1 ZPO). Mangels erheblicher Umtriebe ist der Berufungsbeklagten sowie den weiteren Verfahrensbeteiligten für das Rechtsmittelverfahren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