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LF190044 vom 25. November 2019</w:t>
      </w:r>
    </w:p>
    <w:p>
      <w:r>
        <w:t>ZH Obergericht, 2019-11-25, DE</w:t>
      </w:r>
    </w:p>
    <w:p>
      <w:r>
        <w:rPr>
          <w:b/>
        </w:rPr>
        <w:t xml:space="preserve">Quelle: </w:t>
      </w:r>
      <w:r>
        <w:t>https://mcp.opencaselaw.ch/entscheid/zh_obergericht_LF190044</w:t>
      </w:r>
    </w:p>
    <w:p>
      <w:r>
        <w:t>FR: ZH_OBERGERICHT LF190044 du 25 novembre 2019</w:t>
      </w:r>
    </w:p>
    <w:p>
      <w:r>
        <w:t>IT: ZH_OBERGERICHT LF190044 del 25 novembre 2019</w:t>
      </w:r>
    </w:p>
    <w:p>
      <w:pPr>
        <w:pStyle w:val="Heading2"/>
      </w:pPr>
      <w:r>
        <w:t>Erwägungen</w:t>
      </w:r>
    </w:p>
    <w:p>
      <w:r>
        <w:rPr>
          <w:b/>
        </w:rPr>
        <w:t>E. 1</w:t>
      </w:r>
    </w:p>
    <w:p>
      <w:r>
        <w:t>A._____ (Gesuchsgegner und Berufungskläger, nachfolgend Berufungsklä- ger) mietete von B._____, C._____ und D._____ (Gesuchstellerinnen und Beru- fungsbeklagte, nachfolgend Berufungsbeklagte) mit unbefristeten Verträgen vom 18. Januar 2017 und 2. Juni 2017 eine 4.5-Zimmerwohnung im ersten Oberge- schoss mit Keller sowie zwei Garagenplätze in der Liegenschaft an der F._____- Strasse 1 in ... Zürich (act. 4/1-2). Am 20. Mai 2019 (Datum Poststempel) leiteten die Berufungsbeklagten beim Ein- zelgericht Audienz des Bezirksgerichtes Zürich ein Ausweisungsverfahren gegen den Berufungskläger ein (act. 1). Mit Urteil vom 22. Juli 2019 hiess das Einzelge- richt das Ausweisungsbegehren der Berufungsbeklagten gut und verpflichtete den Berufungskläger die genannten Mietobjekte zu räumen und den Berufungsbeklag- ten ordnungsgemäss gereinigt zu übergeben, unter Androhung der Zwangsvoll- streckung im Unterlassungsfall (act. 24 = act. 28).</w:t>
      </w:r>
    </w:p>
    <w:p>
      <w:r>
        <w:rPr>
          <w:b/>
        </w:rPr>
        <w:t>E. 2</w:t>
      </w:r>
    </w:p>
    <w:p>
      <w:r>
        <w:t>Gegen dieses Urteil erhob der Berufungskläger mit Eingabe vom 13. August 2019 rechtzeitig Berufung bei der Kammer mit dem eingangs genann- ten Antrag (act. 29). Die vorinstanzlichen Akten wurden beigezogen (act. 1-26). Mit Verfügung vom 28. Oktober 2019 wurde den Berufungsbeklagten Frist zur Er- stattung der Berufungsantwort angesetzt (act. 33). Mit Schreiben vom</w:t>
      </w:r>
    </w:p>
    <w:p>
      <w:r>
        <w:rPr>
          <w:b/>
        </w:rPr>
        <w:t>E. 6</w:t>
      </w:r>
    </w:p>
    <w:p>
      <w:r>
        <w:t>Kommt „A._____" den in Ziff. 4 vorstehend genannten Zahlungspflichten nicht, nicht vollständig oder fristgerecht nach, so fällt Ziff. 3 vorstehend dahin und „B._____C._____D._____" ist berechtigt, gestützt auf das in I.1 genannte Urteil vom 22. Juli 2019 des Einzelgerichts Audienz sofort die Ausweisung von „A._____" und I._____ beim zuständigen Stadtammannamt G._____ zu beantragen.</w:t>
      </w:r>
    </w:p>
    <w:p>
      <w:r>
        <w:rPr>
          <w:b/>
        </w:rPr>
        <w:t>E. 7</w:t>
      </w:r>
    </w:p>
    <w:p>
      <w:r>
        <w:t>Kommt ,,A._____" seinen Zahlungspflichten i.S.v. Ziff. 4 vorstehend vereinbarungs- gemäss nach, so sind die genutzten Objekte (vgl. hierzu Ziff. I.1 vorstehend) spätes- tens am 31. März 2020, 14.00 Uhr, geräumt und gereinigt an „B._____C._____D._____" oder deren Vertreter zu übergeben. Eine vorzeitige Rück- gabe bewirkt keinen (vollständigen oder teilweisen) Rückerstattungsanspruch von</w:t>
      </w:r>
    </w:p>
    <w:p>
      <w:r>
        <w:t>- 6 - „A._____" betreffend die in Ziff. 4 vorstehend genannte Nutzungsentschädigung. Die- se verbleibt in jedem Fall bei ,,B._____C._____D._____". Sämtliche von "A._____" (als vormaliger Mieter und ab 1. Mai 2019 als vertragsloser Nutzer) zu verantwortenden, nicht bewilligten und/oder zurückzubauenden Einbauten in oder am vorgenannten (vormaligen) Mietobjekt sind per Datum der Rückgabe fachmännisch zu entfernen.</w:t>
      </w:r>
    </w:p>
    <w:p>
      <w:r>
        <w:rPr>
          <w:b/>
        </w:rPr>
        <w:t>E. 8</w:t>
      </w:r>
    </w:p>
    <w:p>
      <w:r>
        <w:t>"A._____" verpflichtet sich sodann, ,,B._____C._____D._____" eine auch die sämtli- chen Anwaltshonorare (inkl. Parteientschädigung [Fr. 4'000.--] und Gerichtskosten [Fr. 3'500.--] gemäss Urteil vom 22. Juli 2019 im Ausweisungsverfahren ER190092-L, Einzelgericht Audienz am Bezirksgericht Zürich) umfassende Entschädigung von Fr. 10'500.-- (inkl. MwSt. und Auslagen) innert der in Ziff. 4 vorstehend genannten Frist (Verfalltagsabrede) auf das vorgenannte Konto bei der J._____ Basel zu über- weisen.</w:t>
      </w:r>
    </w:p>
    <w:p>
      <w:r>
        <w:rPr>
          <w:b/>
        </w:rPr>
        <w:t>E. 9</w:t>
      </w:r>
    </w:p>
    <w:p>
      <w:r>
        <w:t>"A._____" erklärt gegenüber ,,B._____C._____D._____" sowie dem Betreibungs- und Stadtammannamt G._____, dass ihn betreffende Zustellungen unwiderruflich an die folgende Adresse zu erfolgen sind: A._____, c/o RA Dr. iur. X._____, … [Adresse]. Dr. X._____ erklärt, als unwiderrufliches Zustelldomizil für ,,A._____" zu agieren.</w:t>
      </w:r>
    </w:p>
    <w:p>
      <w:r>
        <w:rPr>
          <w:b/>
        </w:rPr>
        <w:t>E. 10</w:t>
      </w:r>
    </w:p>
    <w:p>
      <w:r>
        <w:t>Die Parteien erklären, den Inhalt der vorliegenden Vereinbarung (5 Seiten insgesamt) verstanden zu haben und dieser frei von Druck zuzustimmen." 4. Ein Vergleich hat die Wirkung eines rechtskräftigen Entscheides (Art. 241 Abs. 2 ZPO). Der Prozess ist demzufolge abzuschreiben (Art. 241 Abs. 3 ZPO), unter vereinbarungsgemässer Regelung der Kosten- und Entschädigungsfolgen. 5. Die Prozesskosten setzen sich aus den Gerichtskosten (Entscheidgebühr) und der Parteientschädigung zusammen (Art. 95 Abs. 1 ZPO). Die Entscheidge- bühr im Kanton Zürich berechnet sich nach der Gebührenverordnung des Ober- gerichts vom 8. September 2010 (GebV OG), welche im Zivilprozess unter Be- rücksichtigung von Zeitaufwand und Schwierigkeit des Falles streitwertabhängige Gebühren vorsieht (§ 2 Abs. 1 lit. a, c und d GebV OG). Dem tragen die Tarife gemäss §§ 4 ff. GebV OG Rechnung. Der Streitwert beträgt unter Berücksichti- gung des monatlichen Bruttomietzinses von Fr. 8'400.-- (act. 4/1-2) und einer Ver-</w:t>
      </w:r>
    </w:p>
    <w:p>
      <w:r>
        <w:t>- 7 - fahrensdauer von sechs Monaten Fr. 50'400.-- (BGer 4A_565/2017 vom 11.7.2018 E. 1.2.1). Die Gebühr ist demnach in Anwendung von § 4 Abs. 1 und 2, § 10 Abs. 1 sowie § 12 Abs. 1 und 2 GebV OG auf Fr. 1'500.-- festzusetzen und dem Berufungskläger aufzuerlegen. Auf die Zusprechung von Parteientschädi- gungen ist zu verzichten.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