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LF190037 vom 5. Juli 2019</w:t>
      </w:r>
    </w:p>
    <w:p>
      <w:r>
        <w:t>ZH Obergericht, 2019-07-05, DE</w:t>
      </w:r>
    </w:p>
    <w:p>
      <w:r>
        <w:rPr>
          <w:b/>
        </w:rPr>
        <w:t xml:space="preserve">Quelle: </w:t>
      </w:r>
      <w:r>
        <w:t>https://mcp.opencaselaw.ch/entscheid/zh_obergericht_LF190037</w:t>
      </w:r>
    </w:p>
    <w:p>
      <w:r>
        <w:t>FR: ZH_OBERGERICHT LF190037 du 5 juillet 2019</w:t>
      </w:r>
    </w:p>
    <w:p>
      <w:r>
        <w:t>IT: ZH_OBERGERICHT LF190037 del 5 luglio 2019</w:t>
      </w:r>
    </w:p>
    <w:p>
      <w:pPr>
        <w:pStyle w:val="Heading2"/>
      </w:pPr>
      <w:r>
        <w:t>Erwägungen</w:t>
      </w:r>
    </w:p>
    <w:p>
      <w:r>
        <w:rPr>
          <w:b/>
        </w:rPr>
        <w:t>E. 1</w:t>
      </w:r>
    </w:p>
    <w:p>
      <w:r>
        <w:t>Die Vorinstanz stellt sich zusammengefasst auf den Standpunkt, zwischen der Berufungsklägerin und dem Berufungsbeklagten liege kein Vertragsverhältnis vor. Sie begründet dies vorab damit, bereits der klare Wortlaut des Mietvertrags spreche dagegen. Nur E._____ sei als Mieter im Mietvertrag genannt. Im Weite- ren verweist die Vorinstanz auf den obergerichtlichen Entscheid im Ausweisungs- verfahren gegen E._____, in welchem die Gültigkeit der gegenüber ihm ausge- sprochenen Kündigung bereits thematisiert worden war. Das Obergericht habe festgehalten, eine Nichtigkeit der Kündigung sei nicht ersichtlich. Auch aus der Korrespondenz zwischen den Parteien des vorliegenden Verfahrens könne nicht</w:t>
      </w:r>
    </w:p>
    <w:p>
      <w:r>
        <w:t>- 7 - auf ein Mietverhältnis geschlossen werden, da die Berufungsklägerin sich selbst gegenüber Behörden insbesondere dahingehend geäussert habe, sie sei in einem Untermietverhältnis und die Wohnung sei auf den Namen ihres Bruders gemietet. Nicht zuletzt könne auch aus dem Umstand, dass der Mietzins von einem ge- meinsamen Konto der Berufungsklägerin und E._____ an den Berufungsbeklag- ten überwiesen worden sei, nichts abgeleitet werden, da dies für den Berufungs- beklagten gar nicht ersichtlich gewesen sei und dies zudem keine Rückschlüsse darauf zulasse, wer Vertragspartei sei.</w:t>
      </w:r>
    </w:p>
    <w:p>
      <w:r>
        <w:rPr>
          <w:b/>
        </w:rPr>
        <w:t>E. 2</w:t>
      </w:r>
    </w:p>
    <w:p>
      <w:r>
        <w:t>Die Berufungsklägerin stellt sich in ihrer Berufung wie bereits im Vorverfah- ren zusammengefasst auf den Standpunkt, es sei wegen ihres Gesundheitszu- standes mündlich zwischen den Parteien vereinbart worden, dass einzig E._____ als Mietpartei im Mietvertrag aufgeführt werde, sie aber dennoch Partei dieses Mietvertrages sei (act. 25 S. 4). Sie bringt in diesem Zusammenhang vor, von ihr im vorinstanzlichen Verfahren offerierte Beweise seien nicht abgenommen wor- den, sondern ihre Ausführungen seien einzig als offensichtlich haltlos abgetan worden. Im Weiteren legt sie in der Berufungsschrift dar, weshalb ihrer Ansicht nach ihre Vorbringen nicht offensichtlich haltlos seien (act. 25 S. 4 ff.), worauf in den nachfolgenden Erwägungen soweit notwendig zurückzukommen sein wird.</w:t>
      </w:r>
    </w:p>
    <w:p>
      <w:r>
        <w:rPr>
          <w:b/>
        </w:rPr>
        <w:t>E. 3</w:t>
      </w:r>
    </w:p>
    <w:p>
      <w:r>
        <w:t>Aufl., 2016, Art. 257 N 7). Für die Verneinung eines klaren Falles genügt es,</w:t>
      </w:r>
    </w:p>
    <w:p>
      <w:r>
        <w:t>- 8 - dass der Gesuchsgegner substantiiert und schlüssig Einwendungen vorträgt, die in tatsächlicher Hinsicht nicht sofort widerlegt werden können und die geeignet sind, die bereits gebildete richterliche Überzeugung zu erschüttern (BGE 138 III 620, E. 5.1.1 mit zahlreichen Hinweisen). Es gilt jedoch zu beachten, dass ein Vorbringen erst dann haltlos ist, wenn es sich aufgrund der gesamten Umstände ohne Weiteres als unwahr erweist. Das Vorbringen muss zufolge klarer gegentei- liger Anhaltspunkte im höchsten Grad unwahrscheinlich wirken die Unwahrheit al- so praktisch erwiesen sein. Entsprechend ist nicht leichthin von Haltlosigkeit aus- zugehen (EGLI, Rechtsschutz in klaren Fällen, in: PraxiZ, Band 2, Zivilprozess – aktuell, Zürich 2013, 1 ff., S. 11). Demgegenüber ist ein klarer Fall zu bejahen, wenn das Gericht aufgrund der Aktenlage zur Überzeugung gelangt, der An- spruch des Gesuchstellers sei ausgewiesen und eine eingehende Abklärung der gesuchsgegnerischen Einwände könne daran nichts ändern (BGE 138 III 620, E. 5.1.1 mit zahlreichen Hinweisen). Es darf in solchen Fällen nach den Grund- sätzen der antizipierten Beweiswürdigung von der Abnahme der vom Gesuchs- gegner angerufenen Beweise abgesehen werden (ZR 103 [2004] Nr. 78; siehe auch ZK ZPO-SUTTER-SOMM /LÖTSCHER, a.a.O., Art. 257 N 5). 4.1.1 Mit der Vorinstanz ist davon auszugehen, dass in erster Linie auf den klaren Wortlaut des Mietvertrages abzustellen ist. Darin wird lediglich E._____ als Mietpartei aufgeführt. Dies bestreitet die Berufungsklägerin denn auch zu Recht nicht, verweist in diesem Zusammenhang aber wie bereits erwähnt auf ihren Ge- sundheitszustand und auf die deshalb angeblich geschlossene mündliche Verein- barung. 4.1.2 Die Erklärung der Berufungsklägerin, weshalb sie nicht im Mietvertrag aufgeführt, aber dennoch Mietpartei sei, erscheint nicht lebensnah. Naheliegend wäre vielmehr, dass falls die Berufungsklägerin tatsächlich den Status einer Ver- tragspartei hätte geniessen wollen, aber aufgrund von gesundheitlichen Proble- men sich nicht in der Lage gesehen hätte, selbst die diesbezügliche Verantwor- tung wahrzunehmen (insbesondere das Führen von Korrespondenz etc., das ihr gemäss ihren eigenen Angaben Probleme zu bereiten scheint, act. 25 S. 5 f.), sie</w:t>
      </w:r>
    </w:p>
    <w:p>
      <w:r>
        <w:t>- 9 - sich im Mietvertrag als Mieterin zusammen mit E._____ hätte aufführen lassen und ihn sodann als Vertreter hätte bezeichnen können. Es scheint darüber hinaus auch nicht nachvollziehbar, inwiefern einzig die Tatsache, dass die Berufungsklägerin nicht namentlich im Vertragsdokument ge- nannt ist, aber dennoch Mieterin mit allen Rechten und Pflichten sein soll, sie vor allfälligen administrativen Aufwänden – die sie aufgrund ihres Gesundheitszu- standes gemäss ihren eigenen Ausführungen nicht zu stemmen in der Lage war (act. 25 S. 5 f.) – hätte bewahren sollen. Wäre sie nämlich tatsächlich Mieterin, so hätte sie, unabhängig von der expliziten Nennung im Mietvertrag, genau wie E._____ die mietvertraglichen Rechte und Pflichten wahrzunehmen gehabt, ver- bunden mit den entsprechenden Formalitäten und Korrespondenzen. Es ist somit mit der Vorinstanz (act. 24 S. 5) davon auszugehen, dass die Berufungsklägerin keine schlüssige Erklärung dafür lieferte, weshalb sie nicht formell als Partei in den schriftlich abgefassten Mietvertrag aufgenommen worden ist (vgl. act. 25 S. 6). 4.1.3 Es ist im Übrigen nicht zu übersehen, dass der Mietvertrag vom 20. März 2013 bzw. 26. März 2013 gemäss entsprechendem Hinweis in der Ver- tragsurkunde alle getroffenen Abmachungen enthält und jede entsprechende Än- derung oder Ergänzung zu ihrer Gültigkeit der Schriftform bedarf (act. 17/1). Dies schliesst gemäss klarem Wortlaut eine (weitergehende) mündliche Vereinbarung zwischen den Parteien aus. 4.1.4 Vor diesem Hintergrund ist der Einwand der Berufungsklägerin, auf- grund ihres Gesundheitszustandes sei sie nicht im Mietvertrag aufgeführt worden, als reine Schutzbehauptung und damit als haltlos zu qualifizieren. 4.1.5 Dies gilt umso mehr, als die Berufungsklägerin selbst gegenüber Be- hörden darlegte, die Wohnung sei auf den Namen ihres Bruders gemietet sowie sie sei nur Untermieterin (act. 15/1). Die von der Berufungsklägerin in diesem Zu- sammenhang ins Feld geführte Erklärung für ihre eigenen Ausführungen, nämlich sie sei Nichtjuristin und habe sich in einer Drucksituation befunden (act. 25 S. 8), vermögen dahingegen nicht zu überzeugen, legt sie doch selbst dar, dass sie sich</w:t>
      </w:r>
    </w:p>
    <w:p>
      <w:r>
        <w:t>- 10 - offenbar durch diese Äusserungen erhoffte hatte, sich nicht noch in der Gemeinde anmelden zu müssen bzw. weitere Handlungen des Berufungsbeklagten bzw. der Behörden würden unterbleiben (act. 25 S. 8 und act. 15/1). Dies zeigt, dass sie sich juristischer Konsequenzen und Zusammenhänge sehr wohl bewusst war und sich deshalb mit Absicht entsprechend äusserte. Im Übrigen ist auch einem juristischen Laien der Unterschied zwischen ei- nem (Haupt-)Mietvertrag und einem Untermietvertrag zumindest als Wertung in der Laiensphäre sehr wohl bewusst, was für die hier relevante Unterscheidung, ob die Berufungsklägerin Partei des Mietvertrages mit dem Berufungsbeklagten war oder vielmehr Partei des Untermietvertrages mit E._____, genügt. Damit ist irrelevant, wie die Äusserung des Gemeindeammanns, die Beru- fungsklägerin habe angegeben, einen mündlichen Untermietvertrag zu haben (act. 3/8), zu Stande gekommen ist, bzw. zu welchen rechtlichen oder eben tat- sächlichen Feststellungen der Gemeindeammann berechtigt war (act. 24 S. 7, act. 25 S. 8). Hinsichtlich des Einwandes der Berufungsklägerin, der Berufungsbeklagte habe sie angefragt, ob er einen Blick in ihre Wohnung werfen dürfe, ist auf die zu- treffenden Erwägungen der Vorinstanz zu verweisen (act. 24 S. 5). 4.2.1 An der Haltlosigkeit der Vorbringen der Berufungsklägerin vermag auch der Umstand nichts zu ändern, dass im Mietvertrag die Verwendung des Mietob- jektes zu Wohnzwecken für zwei Personen angegeben wurde. Mit der Zwecknen- nung und der Angabe der Anzahl Personen wird regelmässig nur zum Ausdruck gebracht, wie hoch die Maximalbelegung einer Wohnung sein soll und nicht, wie viele Personen tatsächlich in jenem Mietobjekt leben oder sogar, dass die in die- ser Wohnung lebenden Personen Vertragspartei sind, obwohl sie nicht im Vertrag genannt werden. Die bereits als haltlos qualifizierte Einwendung der Berufungs- klägerin, sie sei ebenfalls Mieterin, wird durch die Zwecknennung im Mietvertrag in jedem Fall nicht gestützt, wie sie dies vorbringt (act. 25 S. 4 ff.).</w:t>
      </w:r>
    </w:p>
    <w:p>
      <w:r>
        <w:t>- 11 - 4.2.2 Dies gilt auch in Bezug auf das Vorbringen der Berufungsklägerin, der Mietzins sei von einem gemeinsamen Konto von ihr und E._____ bezahlt worden. Falls dieser Umstand bei den Gutschriftsanzeigen für den Berufungsbeklagten überhaupt ersichtlich gewesen sein sollte, woran auch die Berufungsklägerin selbst zu zweifeln scheint (act. 25 S. 10), ist dies noch kein Hinweis darauf, wer Vertragspartei ist. Dies beschlägt vielmehr das interne Verhältnis zwischen der Berufungsklägerin und E._____. Es ist denn auch nicht umstritten, dass der Beru- fungsbeklagte wusste, dass die Berufungsklägerin in jener Wohnung lebt (vgl. act. 17/4). Dies alles ändert nichts in Bezug auf die Frage ihrer Mietparteistellung und kann entsprechend auch nicht als Beweis dafür dienen. Die Berufungsklägerin geht zwar selbst davon aus, dass sich aus den Zahlungsmodalitäten keine Rück- schlüsse auf die Vertragsparteistellung ziehen liessen, behauptet aber gleichzei- tig, die entsprechenden Zahlungsbelege würden als Beweis für die bereits er- wähnte mündliche Vereinbarung und damit die Vertragsparteistellung dienen (act. 25 S. 10). Aufgrund der obigen Erwägungen erweist sich das als unzutreffend. 4.3 Mit Blick auf die vorstehenden Erwägungen durfte die Vorinstanz im Sinne einer antizipierten Beweiswürdigung auf die Abnahme von von der Berufungsklä- gerin in diesem Zusammenhang angebotene Beweismittel – die Zeugenaussage von E._____ und ihre eigene Parteibefragung (act. 16, passim) – verzichten. Im Übrigen ist die Berufungsklägerin darauf hinzuweisen, dass das Gericht sich bei der Beweisabnahme im Verfahren des Rechtsschutzes in klaren Fällen in der Re- gel auf Urkunden zu beschränken hat und es unklar ist, ob in diesem Verfahren die Zeugenaussage und die Parteibefragung als Beweismittel überhaupt zulässig sind (zur Zeugenaussage: BGE 138 III 123, E. 2.6; siehe auch ZK ZPO-SUTTER- SOMM /LÖTSCHER, a.a.O., Art. 257 N 5). 4.4 Vor diesem Hintergrund kann auch offen bleiben, in welcher Form die Fest- stellung des hiesigen Gerichts im gegen E._____ durchgeführten Ausweisungs- verfahren (LF180098, act. 3/4 S.7), dass nicht ersichtlich sei, inwiefern die einzig gegen ihn und nicht auch gegen die Berufungsklägerin ausgesprochene Kündi- gung nichtig sei, hier zu berücksichtigen ist (vgl. act. 24 S. 5 und act. 25 S. 6 f.).</w:t>
      </w:r>
    </w:p>
    <w:p>
      <w:r>
        <w:t>- 12 - 4.5 Zusammengefasst ist mit der Vorinstanz davon auszugehen, dass die Ein- wände der Berufungsklägerin haltlos sind. Es liegt somit ein liquider Sachverhalt vor.</w:t>
      </w:r>
    </w:p>
    <w:p>
      <w:r>
        <w:rPr>
          <w:b/>
        </w:rPr>
        <w:t>E. 5</w:t>
      </w:r>
    </w:p>
    <w:p>
      <w:r>
        <w:t>Schriftliche Mitteilung an die Parteien, an den Berufungsbeklagten unter Bei- lage eines Doppels von act. 25, sowie an das Bezirksgericht Dietikon, Ein- zelgericht,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Die Beschwerde an das Bundesgericht hat keine aufschiebende Wirkung.</w:t>
      </w:r>
    </w:p>
    <w:p>
      <w:r>
        <w:t>- 14 - Obergericht des Kantons Zürich II. Zivilkammer Die Gerichtsschreiberin: MLaw A. Ochsner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