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LF190024 vom 8. Mai 2019</w:t>
      </w:r>
    </w:p>
    <w:p>
      <w:r>
        <w:t>ZH Obergericht, 2019-05-08, DE</w:t>
      </w:r>
    </w:p>
    <w:p>
      <w:r>
        <w:rPr>
          <w:b/>
        </w:rPr>
        <w:t xml:space="preserve">Quelle: </w:t>
      </w:r>
      <w:r>
        <w:t>https://mcp.opencaselaw.ch/entscheid/zh_obergericht_LF190024</w:t>
      </w:r>
    </w:p>
    <w:p>
      <w:r>
        <w:t>FR: ZH_OBERGERICHT LF190024 du 8 mai 2019</w:t>
      </w:r>
    </w:p>
    <w:p>
      <w:r>
        <w:t>IT: ZH_OBERGERICHT LF190024 del 8 maggio 2019</w:t>
      </w:r>
    </w:p>
    <w:p>
      <w:pPr>
        <w:pStyle w:val="Heading2"/>
      </w:pPr>
      <w:r>
        <w:t>Erwägungen</w:t>
      </w:r>
    </w:p>
    <w:p>
      <w:r>
        <w:rPr>
          <w:b/>
        </w:rPr>
        <w:t>E. 1</w:t>
      </w:r>
    </w:p>
    <w:p>
      <w:r>
        <w:t>Die Handlungsfähigkeit untersteht dem Recht am Wohnsitz (Art. 35 IPRG). Handlungsfähig (und damit geschäftsfähig) ist nach schweizerischem Recht, wer volljährig und urteilsfähig ist (Art. 13 ZGB). Urteilsfähig im Sinne des Gesetzes ist jede Person, der nicht wegen ihres Kindesalters, infolge geistiger Behinderung, psychischer Störung, Rausch oder ähnlicher Zustände die Fähigkeit mangelt, ver- nunftgemäss zu handeln (Art. 16 ZGB). Wer handlungsfähig ist, ist auch prozess- fähig (Art. 67 ZPO). Die Urteilsfähigkeit ist relativ: Sie darf nicht abstrakt beurteilt werden. Die erforder- lichen Fähigkeiten müssen konkret in Bezug auf eine bestimmte Handlung ent- sprechend deren Natur und Wichtigkeit im Augenblick der Handlung gegeben sein (BGE 134 II 235 = Pra 98 [2009] Nr. 31, Erw. 4.3.2).</w:t>
      </w:r>
    </w:p>
    <w:p>
      <w:r>
        <w:t>- 4 - Gemäss der Praxis ist die Urteilsfähigkeit nach der allgemeinen Lebenserfahrung grundsätzlich zu vermuten. Das gilt allerdings nur so lange, als nicht die Lebens- erfahrung im Einzelfall zur umgekehrten Vermutung führt, was bei Erwachsenen mit schwerer psychischer Störung oder geistiger Behinderung der Fall ist (vgl. et- wa BGer 8C_538/2017 vom 30. November 2017 Erw. 3; BK-Bucher/Aebi-Müller, Art. 16 ZGB N 155 ff.).</w:t>
      </w:r>
    </w:p>
    <w:p>
      <w:r>
        <w:rPr>
          <w:b/>
        </w:rPr>
        <w:t>E. 2</w:t>
      </w:r>
    </w:p>
    <w:p>
      <w:r>
        <w:t>Die Frage, ob der Streitwert den für die Zulässigkeit der ordentlichen Be- schwerde in Zivilsachen an das Bundesgericht vorausgesetzten Minimalbetrag von Fr. 30'000.– erreicht (Art. 72 ff., insbes. Art. 74 Bundesgerichtsgesetz [BGG]), oder ob der Entscheid nur mit der subsidiären Verfassungsbeschwerde anfecht- bar ist (Art. 113 ff. ZPO), kann offenbleiben. Beim angefochtenen Entscheid, dem Berufungskläger (einstweilen) keinen Erb- schein auszustellen, handelt es sich lediglich um eine vorsorgliche Massnahme, welche die Frage der Auslieferung der Erbschaft bis zur Verwirkung der dem Ein- sprecher laufenden Klagefristen (Art. 521 Abs. 1 und Art. 533 Abs. 1 ZGB) bzw. bis zum Entscheid über eine allfällige Ungültigkeits- oder Herabsetzungsklage re- gelt (vgl. BGer 5A_757/2016 vom 31. August 2017 Erw. 2; 5A_800/2013 vom 18. Februar 2014 Erw. 1; 5A_162/2007 vom 16. Juli 2007 Erw. 5.2). Mit der ordentli- chen Beschwerde in Zivilsachen an das Bundesgericht kann deshalb gleich wie mit der subsidiären Verfassungsbeschwerde nur die Verletzung verfassungsmäs- siger Rechte gerügt werden (Art. 98 bzw. 116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