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LF180040 vom 5. September 2018</w:t>
      </w:r>
    </w:p>
    <w:p>
      <w:r>
        <w:t>ZH Obergericht, 2018-09-05, DE</w:t>
      </w:r>
    </w:p>
    <w:p>
      <w:r>
        <w:rPr>
          <w:b/>
        </w:rPr>
        <w:t xml:space="preserve">Quelle: </w:t>
      </w:r>
      <w:r>
        <w:t>https://mcp.opencaselaw.ch/entscheid/zh_obergericht_LF180040</w:t>
      </w:r>
    </w:p>
    <w:p>
      <w:r>
        <w:t>FR: ZH_OBERGERICHT LF180040 du 5 septembre 2018</w:t>
      </w:r>
    </w:p>
    <w:p>
      <w:r>
        <w:t>IT: ZH_OBERGERICHT LF180040 del 5 settembre 2018</w:t>
      </w:r>
    </w:p>
    <w:p>
      <w:pPr>
        <w:pStyle w:val="Heading2"/>
      </w:pPr>
      <w:r>
        <w:t>Erwägungen</w:t>
      </w:r>
    </w:p>
    <w:p>
      <w:r>
        <w:rPr>
          <w:b/>
        </w:rPr>
        <w:t>E. 1</w:t>
      </w:r>
    </w:p>
    <w:p>
      <w:r>
        <w:t>Geht bei der zuständigen Behörde eine Ausschlagungserklärung ein, hat sie diese zu protokollieren (Art. 570 Abs. 3 ZGB). Wie bereits dargelegt schafft die Protokollierung lediglich den Beweis für die Abgabe und den Zeitpunkt der Aus- schlagungserklärung und hat keinerlei Rechtskraftwirkung zwischen den (aus- schlagenden) Erben und den Gläubigern des Erblassers. Wie die Vorinstanz zu Recht festhielt (act. 11 S. 2 E. II./1), hat das Protokoll auf die zivilrechtliche Gül-</w:t>
      </w:r>
    </w:p>
    <w:p>
      <w:r>
        <w:t>- 6 - tigkeit einer Ausschlagung somit keinen Einfluss (vgl. OGer ZH LF170020 vom 28. April 2017, E. 3.3; BGer 5A_578/2009 vom 12. Oktober 2009, E. 2.2 m.w.H.; 5A_44/2013 vom 25. April 2013, E. 3; 4A_394/2014 vom 1. Dezember 2014, E. 2; HÄUPTLI, in: ABT/WEIBEL [Hrsg.], Praxiskommentar Erbrecht, 3. Aufl. 2015, Art. 570 N 9; ZR 96 [1997] Nr. 29 S. 80 ff. E. III./1). Die Ansichten zur Kognition der proto- kollierenden Behörde sind uneinheitlich (vgl. dazu OGer ZH LF170020 vom 28. April 2017, E. 3.4).</w:t>
      </w:r>
    </w:p>
    <w:p>
      <w:r>
        <w:rPr>
          <w:b/>
        </w:rPr>
        <w:t>E. 2</w:t>
      </w:r>
    </w:p>
    <w:p>
      <w:r>
        <w:t>Die Vorinstanz erwog zur Kognition, wenn die Verwirkung der Ausschla- gungsbefugnis anerkannt oder offenkundig sei, dürfe die Protokollierung aus- nahmsweise verweigert werden. Dabei berief sie sich auf eine ältere Rechtspre- chung des Obergerichts Zürich (vgl. act. 11 E. II./1 mit Verweis auf ZR 96 [1997] Nr. 29 E. III./1). Es rechtfertige sich, die Einhaltung der in Art. 567 Abs. 1 ZGB statuierten Ausschlagungsfrist von drei Monaten ab Kenntnis des Erbfalls (vgl. Art. 567 Abs. 2 ZGB) vorfrageweise zu prüfen, weil der Erblasser bereits am tt.mm.2017 verstorben sei und die (Ausschlagungs-)Erklärungen der Berufungs- klägerin 1 und der Berufungskläger 2-5 erst Ende Mai und Anfangs Juni 2018 eingereicht worden seien (vgl. act. 11 E. II./2). Die Berufungsklägerinnen 1 und 5 hätten auch am letzten Wohnsitz des Erblassers gelebt, weshalb ohne Weiteres davon auszugehen sei, diese beiden hätten vom Versterben des Erblassers zeit- nah Kenntnis gehabt und aus den eingereichten Unterlagen ergebe sich nicht, dass die Berufungskläger 2-4 erst viele Monate später vom Ableben des Erblas- sers Kenntnis erhalten hätten, weshalb die Ausschlagungserklärungen offensicht- lich verspätet seien (vgl. act. 11 E. II./1-2).</w:t>
      </w:r>
    </w:p>
    <w:p>
      <w:r>
        <w:rPr>
          <w:b/>
        </w:rPr>
        <w:t>E. 3</w:t>
      </w:r>
    </w:p>
    <w:p>
      <w:r>
        <w:t>Die Gerichtskosten für das zweitinstanzliche Verfahren werden den Beru- fungsklägerin unter solidarischer Haftung auferlegt.</w:t>
      </w:r>
    </w:p>
    <w:p>
      <w:r>
        <w:rPr>
          <w:b/>
        </w:rPr>
        <w:t>E. 4</w:t>
      </w:r>
    </w:p>
    <w:p>
      <w:r>
        <w:t>Parteientschädigungen werden keine zugesprochen.</w:t>
      </w:r>
    </w:p>
    <w:p>
      <w:r>
        <w:rPr>
          <w:b/>
        </w:rPr>
        <w:t>E. 5</w:t>
      </w:r>
    </w:p>
    <w:p>
      <w:r>
        <w:t>Schriftliche Mitteilung an die Berufungskläger, an die Steuerämter der Stadt und des Kantons Zürich, an das Bezirksgericht Zürich, Einzelgericht für Erb- schaftssachen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vermögensrechtliche Angelegenheit mit einem Streitwert von über Fr. 30'000.–.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