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LF180038 vom 20. Juli 2018</w:t>
      </w:r>
    </w:p>
    <w:p>
      <w:r>
        <w:t>ZH Obergericht, 2018-07-20, DE</w:t>
      </w:r>
    </w:p>
    <w:p>
      <w:r>
        <w:rPr>
          <w:b/>
        </w:rPr>
        <w:t xml:space="preserve">Quelle: </w:t>
      </w:r>
      <w:r>
        <w:t>https://mcp.opencaselaw.ch/entscheid/zh_obergericht_LF180038</w:t>
      </w:r>
    </w:p>
    <w:p>
      <w:r>
        <w:t>FR: ZH_OBERGERICHT LF180038 du 20 juillet 2018</w:t>
      </w:r>
    </w:p>
    <w:p>
      <w:r>
        <w:t>IT: ZH_OBERGERICHT LF180038 del 20 luglio 2018</w:t>
      </w:r>
    </w:p>
    <w:p>
      <w:pPr>
        <w:pStyle w:val="Heading2"/>
      </w:pPr>
      <w:r>
        <w:t>Erwägungen</w:t>
      </w:r>
    </w:p>
    <w:p>
      <w:r>
        <w:rPr>
          <w:b/>
        </w:rPr>
        <w:t>E. 1</w:t>
      </w:r>
    </w:p>
    <w:p>
      <w:r>
        <w:t>A._____ und B._____ (Gesuchsteller und Berufungskläger, nachfolgend Be- rufungskläger) sind die Eltern bzw. Schwiegereltern von C._____ und D._____ (Gesuchsgegner und Berufungsbeklagte, nachfolgend Berufungsbeklagte). Am</w:t>
      </w:r>
    </w:p>
    <w:p>
      <w:r>
        <w:rPr>
          <w:b/>
        </w:rPr>
        <w:t>E. 1.1</w:t>
      </w:r>
    </w:p>
    <w:p>
      <w:r>
        <w:t>Als aussichtslos im Sinne von Art. 117 lit. b ZPO sind Begehren anzusehen, bei denen die Gewinnaussichten beträchtlich geringer sind als die Verlustgefah- 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entschlösse; eine Partei soll einen Pro- zess, den sie auf eigene Rechnung und Gefahr nicht führen würde, nicht deshalb anstrengen können, weil er sie nichts kostet (BGE 138 III 217 E.2.2.4, BGE 133 III 614 E. 5). Ob im Einzelfall genügende Erfolgsaussichten bestehen, beurteilt sich aufgrund einer vorläufigen und summarischen Prüfung der Prozessaussichten (BGE 138 III 217 E.2.2.4, BGE 133 III 614 E. 5), wobei hierfür auf die rechtlichen und tatsächlichen Verhältnisse abzustellen ist, wie sie im Zeitpunkt des Gesuches um Bewilligung der unentgeltlichen Rechtspflege vorliegen (BGE 129 I 129 E. 2.3.1; BGE 128 I 225 E. 2.5.3; BGE 124 I 304 E. 2c m.w.H.; ZR 2011 Nr. 97 E. 2.5; ZR 2011 Nr. 99 E. 3.6; ZR 2011 Nr. 101 E. 3.3; ZR 2011 Nr. 102 E. 3.5). Für die Bejahung der Erfolgsaussichten im Rechtsmittelverfahren reicht es nicht, dass der angefochtene Entscheid oder das vorinstanzliche Verfahren an einem Mangel leidet. Entscheidend ist allein, ob das Rechtsmittel voraussichtlich gutge- heissen werden muss (BGer 5A_373/2008 vom 7. Juli 2008 E. 2; BGer 5A_153/2014 vom 10. Juli 2014, E. 3).</w:t>
      </w:r>
    </w:p>
    <w:p>
      <w:r>
        <w:rPr>
          <w:b/>
        </w:rPr>
        <w:t>E. 1.2</w:t>
      </w:r>
    </w:p>
    <w:p>
      <w:r>
        <w:t>Vorliegend begründen die Berufungskläger die Erfolgsaussichten ihres Rechtsmittels im Wesentlichen damit, dass die Vorinstanz zu Recht und in Über-</w:t>
      </w:r>
    </w:p>
    <w:p>
      <w:r>
        <w:t>- 16 - einstimmung mit ihrem vorinstanzlichen Standpunkt davon ausgegangen sei, dass der Grundbucheintrag klar sei (act. 15 Rn. 151). Wie bereits (vorstehend Ziff. II.3.4.1) ausgeführt ist dies unzutreffend, ist die Vorinstanz doch vielmehr da- von ausgegangen, die Dienstbarkeit sei in Anwendung von Art. 738 Abs. 2 ZGB nach der Art der bisherigen Nutzung auszulegen. Im Übrigen stützen die Beru- fungskläger die Nichtaussichtslosigkeit ihres Rechtsmittels darauf, dass sowohl das Recht wie auch der Sachverhalt betreffend des von ihnen gestellten Auswei- sungsgesuchs klar sei, ihnen mithin ein ausschliessliches Wohnrecht an der ge- samten streitgegenständlichen Liegenschaft und deshalb gegenüber den Beru- fungsbeklagten ein Ausweisungsanspruch zukomme. Wie gesehen ist dies jedoch nicht der Fall, weil sich die Lehrmeinung, auf welche die Berufungskläger die ihrer Ansicht nach klare Rechtslage stützen, nicht als unbestritten erweist, da ein nicht unbedeutender Teil der Lehre eine andere Meinung vertritt. Das von den Beru- fungsklägern eingereichte Ausweisungsverfahren war aus diesem Grund im Ver- fahren um Rechtsschutz in klaren Fällen von vornherein aussichtslos, weshalb auch dem gegen den vorinstanzlichen Entscheid erhobenen Rechtsmittel von vornherein kein Erfolg beschieden sein konnte. 2.1 Die Kosten des vorliegenden Verfahrens sind unter Beachtung der Regelung von Art. 106 Abs. 3 ZPO zur Solidarhaftung ausgangsgemäss den Berufungsklä- gern aufzuerlegen (Art. 106 Abs. 1 ZPO). Die Vorinstanz hat den Streitwert des vorliegenden Verfahrens gestützt auf eine Kapitalisierung des Wohnrechts an- hand eines marktüblichen Nettomietzinses von Fr. 1'700.– unangefochten und in vertretbarer Weise auf Fr. 189'924.– festgesetzt (act. 14 E. IV.2), weshalb dieser Streitwert auch für das Berufungsverfahren zu übernehmen ist. Die Gerichtsge- bühr ist ausgehend davon sowie in Anwendung von § 12 Abs. 1 und 2 GebV OG i.V.m. § 4 Abs. 1, 2 und 3 GebV OG sowie § 8 GebV OG auf Fr. 1'500.– festzu- setzen. 2.2 Parteientschädigungen sind, den Berufungsklägern infolge Unterliegens, den Berufungsbeklagten mangels Umtrieben im vorliegenden Verfahren, keine zuzusprechen.</w:t>
      </w:r>
    </w:p>
    <w:p>
      <w:r>
        <w:t>- 17 - Es wird beschlossen: 1. Das Gesuch der Berufungskläger um Gewährung der unentgeltlichen Rechtspflege für das Berufungsverfahren wird abgewiesen. 2. Schriftliche Mitteilung und Rechtsmittel gemäss nachfolgendem Erkenntnis. Es wird erkannt: 1. Die Berufung wird abgewiesen, soweit darauf einzutreten ist. 2. Die Entscheidgebühr wird auf Fr. 1'500.– festgesetzt und den Berufungsklä- gern je zur Hälfte auferlegt, unter solidarischer Haftung jedes einzelnen für den gesamten Betrag. 3. Den Berufungsbeklagten wird für das Berufungsverfahren keine Parteient- schädigung zugesprochen. 4. Schriftliche Mitteilung an die Parteien, an die Berufungsbeklagten unter Bei- lage eines Doppels von act. 15, sowie an die Vorinstanz, je gegen Emp- fangsschein. Die Akten des vorliegenden Verfahrens gehen nach unbenütztem Ablauf der Rechtsmittelfrist zurück an die Vorinstanz.</w:t>
      </w:r>
    </w:p>
    <w:p>
      <w:r>
        <w:rPr>
          <w:b/>
        </w:rPr>
        <w:t>E. 4</w:t>
      </w:r>
    </w:p>
    <w:p>
      <w:r>
        <w:t>Gegen diesen Entscheid erhoben die Berufungskläger mit Eingabe vom 14. Juni 2018 (Datum Poststempel) rechtzeitig (vgl. act. 12/2) Berufung bei der Kammer und stellten die vorgenannten Berufungsanträge (act. 15 S. 2 f.). Zudem stellten sie für das Berufungsverfahren ein Gesuch um Bewilligung der unentgelt- lichen Rechtspflege und beantragten, es sei ihnen in der Person ihres vorinstanz- lichen Vertreters ein unentgeltlicher Rechtsbeistand zu bestellen (act. 15 S. 3).</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189'924.–. Die Beschwerde an das Bundesgericht hat keine aufschiebende Wirkung.</w:t>
      </w:r>
    </w:p>
    <w:p>
      <w:r>
        <w:t>- 18 -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