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LF170012 vom 28. April 2017</w:t>
      </w:r>
    </w:p>
    <w:p>
      <w:r>
        <w:t>ZH Obergericht, 2017-04-28, DE</w:t>
      </w:r>
    </w:p>
    <w:p>
      <w:r>
        <w:rPr>
          <w:b/>
        </w:rPr>
        <w:t xml:space="preserve">Quelle: </w:t>
      </w:r>
      <w:r>
        <w:t>https://mcp.opencaselaw.ch/entscheid/zh_obergericht_LF170012</w:t>
      </w:r>
    </w:p>
    <w:p>
      <w:r>
        <w:t>FR: ZH_OBERGERICHT LF170012 du 28 avril 2017</w:t>
      </w:r>
    </w:p>
    <w:p>
      <w:r>
        <w:t>IT: ZH_OBERGERICHT LF170012 del 28 aprile 2017</w:t>
      </w:r>
    </w:p>
    <w:p>
      <w:pPr>
        <w:pStyle w:val="Heading2"/>
      </w:pPr>
      <w:r>
        <w:t>Erwägungen</w:t>
      </w:r>
    </w:p>
    <w:p>
      <w:r>
        <w:rPr>
          <w:b/>
        </w:rPr>
        <w:t>E. 1</w:t>
      </w:r>
    </w:p>
    <w:p>
      <w:r>
        <w:t>A1._____, geb. tt.7.1941, weitere Angaben nicht bekannt</w:t>
      </w:r>
    </w:p>
    <w:p>
      <w:r>
        <w:rPr>
          <w:b/>
        </w:rPr>
        <w:t>E. 1.1</w:t>
      </w:r>
    </w:p>
    <w:p>
      <w:r>
        <w:t>Im vorliegenden Verfahren hat ursprünglich der schwedische allgemeine Erbfonds die Ausstellung eines Erbscheines beantragt, was er damit begründete, dass auf den vorliegenden Sachverhalt schwedisches Recht zur Anwendung komme und er nach schwedischem Recht einziger gesetzlicher Erbe sei (vgl. vor- stehend Ziff. I.2.1). Die Vorinstanz ging demgegenüber implizit davon aus, es sei schweizerisches Recht anwendbar, ohne dass sie sich dazu jedoch geäussert hätte.</w:t>
      </w:r>
    </w:p>
    <w:p>
      <w:r>
        <w:rPr>
          <w:b/>
        </w:rPr>
        <w:t>E. 1.2</w:t>
      </w:r>
    </w:p>
    <w:p>
      <w:r>
        <w:t>Grundsätzlich liegt ein Sachverhalt mit relevantem Auslandsbezug vor, da die Erblasserin schwedische Staatsangehörige war und die Staatsangehörigkeit im Erbrecht ein anknüpfungsrelevantes Merkmal ist (vgl. Art. 86 ff. IPRG). Damit liegt ein internationales Verhältnis im Sinne von Art. 1 Abs. 1 IPRG vor, weshalb sich die Zuständigkeit der schweizerischen Gerichte sowie das anwendbare Recht nach dem Bundesgesetz über das Internationale Privatrecht (IPRG) res-</w:t>
      </w:r>
    </w:p>
    <w:p>
      <w:r>
        <w:t>- 9 - pektive nach den gemäss Art. 1 Abs. 2 IPRG vorgehenden völkerrechtlichen Ver- trägen richtet. Damit ist zunächst die Zuständigkeit der schweizerischen Gerichte zu klären und bei Vorliegen einer solchen das anwendbare Recht zu bestimmen. Festzuhal- ten ist, dass sowohl hinsichtlich der internationalen Zuständigkeit als auch bezüg- lich des anwendbaren Rechts auf dem Gebiet des Erbrechts kein Staatsvertrag zwischen Schweden und der Schweiz besteht; insbesondere ist das Überein- kommen über die gerichtliche Zuständigkeit, Anerkennung und Vollstreckung von Entscheidungen in Zivil- und Handelssachen (Lugano-Übereinkommen; LugÜ) nicht anwendbar (vgl. Art. 1 Ziff. 2 lit. a LugÜ). Daher ist sowohl für die Prüfung der internationalen Zuständigkeit als auch zur Bestimmung des anwendbaren Rechts das IPRG heranzuziehen. Das vom schwedischen allgemeinen Erbfonds zur Begründung der Anwendbarkeit des schwedischen Rechts zitierte schwedi- sche internationale Privatrecht (vgl. act. 13; act. 3) ist für die Schweizer Gerichte zur Bestimmung der internationale Zuständigkeit und des anwendbaren Rechts demgegenüber nicht massgebend.</w:t>
      </w:r>
    </w:p>
    <w:p>
      <w:r>
        <w:rPr>
          <w:b/>
        </w:rPr>
        <w:t>E. 1.3</w:t>
      </w:r>
    </w:p>
    <w:p>
      <w:r>
        <w:t>Für die Prüfung der Zuständigkeit ist die Staatsangehörigkeit der Erblasserin aus Sicht der Schweizer Gerichte nicht massgebend (vgl. BSK IPRG-SCHNYDER/ LIATOWITSCH, 3. Aufl. 2013, Art. 86 N 3). Vielmehr stellt Art. 86 Abs. 1 IPRG unab- hängig von der Staatsangehörigkeit auf den letzten Wohnsitz des Erblassers ab und erklärt die dortigen Gerichte und Behörden für zuständig. Vorbehalten bleibt nach Art. 86 Abs. 2 IPRG die Zuständigkeit des Staates, der für Grundstücke auf seinem Gebiet die ausschliessliche Zuständigkeit vorsieht (Art. 86 Abs. 2 IPRG). Da sich im Nachlass der Erblasserin einzig ein in der Schweiz gelegenes Grund- stück befindet, kommt der Vorbehalt vorliegend nicht zur Anwendung. Der letzte Wohnsitz der Erblasserin befand sich unbestrittenermassen in der Gemeinde C._____ im Bezirk Uster (vgl. act. 9), die (internationale) Zuständigkeit der Vo- rinstanz zur Ausstellung des verlangten Erbscheins ist daher zu bejahen.</w:t>
      </w:r>
    </w:p>
    <w:p>
      <w:r>
        <w:rPr>
          <w:b/>
        </w:rPr>
        <w:t>E. 1.4</w:t>
      </w:r>
    </w:p>
    <w:p>
      <w:r>
        <w:t>Gemäss Art. 90 Abs. 1 IPRG untersteht der Nachlass einer Person mit letz- tem Wohnsitz in der Schweiz dem schweizerischen Recht. Die objektive Anknüp- fung an das schweizerische Erbrecht unterscheidet also nicht danach, ob der Erb-</w:t>
      </w:r>
    </w:p>
    <w:p>
      <w:r>
        <w:t>- 10 - lasser die schweizerische oder eine ausländische Staatsangehörigkeit besass, sondern stellt einzig auf den letzten Wohnsitz des Erblassers ab (vgl. dazu etwa SCHNYDER/LIATOWITSCH, a.a.O., Art. 90 N 4). Entgegen dem vor Vorinstanz durch den allgemeinen schwedischen Erbfonds geäusserten Standpunkt (act. 13 S. 2), erweist sich der Wohnsitz der Erben sodann nicht als anknüpfungsrelevant. Indes ist es ausländischen Erblassern mit letztem Wohnsitz in der Schweiz erlaubt, ge- mäss Art. 90 Abs. 2 IPRG eine von der objektiven Anknüpfung abweichende Rechtswahl (sog. professio iuris) zu treffen und ihren Nachlass ihrem Heimatrecht zu unterstellen. Wie bereits erwähnt befand sich der letzte Wohnsitz der Erblasserin in der Gemeinde C._____ im Bezirk Uster, wobei sich – wie ebenfalls bereits ausgeführt – im Nachlass der Erblasserin keine schwedischen Grundstücke befinden, die ei- ne Sonderanknüpfung i.S.v. Art. 86 Abs. 2 IPRG zur Folge hätten. Sodann wird nicht geltend gemacht, dass die Erblasserin eine letztwillige Verfügung hinterlas- sen hätte, in welcher sie den Nachlass ihrem Heimatrecht unterstellt hätte. Damit ist die Vorinstanz zu Recht davon ausgegangen, dass schweizerisches Recht zur Anwendung kommt. 2. Ermittlung der gesetzlichen Erbfolge</w:t>
      </w:r>
    </w:p>
    <w:p>
      <w:r>
        <w:rPr>
          <w:b/>
        </w:rPr>
        <w:t>E. 2</w:t>
      </w:r>
    </w:p>
    <w:p>
      <w:r>
        <w:t>A2._____, geb. tt.4.1946, weitere Angaben nicht bekannt</w:t>
      </w:r>
    </w:p>
    <w:p>
      <w:r>
        <w:rPr>
          <w:b/>
        </w:rPr>
        <w:t>E. 2.1</w:t>
      </w:r>
    </w:p>
    <w:p>
      <w:r>
        <w:t>Die Kosten des Berufungsverfahrens sind grundsätzlich nach Obsiegen und Unterliegen zu verteilen (vgl. Art. 106 ZPO). Da dem Kanton Zürich – abgesehen davon, dass er sich im Berufungsverfahren nicht mit dem vorinstanzlichen Ent- scheid identifiziert hat – als unterliegende Partei von vornherein keine Kosten auferlegt werden können (vgl. Art. 116 Abs. 1 ZPO i.V.m. § 200 lit. a GOG), sind für das Berufungsverfahren keine Kosten zu erheben. Der von den Berufungsklä- gern bei der Obergerichtskasse geleistete Kostenvorschuss ist ihnen – unter Vor- behalt des Verrechnungsrechts des Staates – zu erstatten.</w:t>
      </w:r>
    </w:p>
    <w:p>
      <w:r>
        <w:t>- 16 -</w:t>
      </w:r>
    </w:p>
    <w:p>
      <w:r>
        <w:rPr>
          <w:b/>
        </w:rPr>
        <w:t>E. 2.2</w:t>
      </w:r>
    </w:p>
    <w:p>
      <w:r>
        <w:t>Grundsätzlich ist eine Entschädigungspflicht des Staates dann möglich, wenn der Staat materiell als Partei zu betrachten ist. Dieses für Verfahren der freiwilligen Gerichtsbarkeit entwickelte Kriterium (vgl. etwa BGE 140 III 501 E. 4.3.2; BGE 142 III 110 E. 3.3) ist vorliegend ohne Weiteres erfüllt, da dem Staat materielle Parteistellung zukommt. Die Vorinstanz hat die Art. 466 und 555 ZGB offensichtlich falsch angewandt, indem sie trotz aktenkundiger gesetzlicher Erben zum Schluss gelangte, die Erbschaft falle mangels gesetzlicher Erben der Erblasserin an das Gemeinwesen. Aus diesem Grund erscheint es angezeigt, die obsiegenden Berufungskläger angemessen aus der Staatskasse zu entschädi- gen, wobei die Parteientschädigung ausgehend von einem Streitwert des Beru- fungsverfahrens von rund Fr. 468'000.– (Nachlasswert; vgl. act. 27) sowie unter Berücksichtigung von § 2 Abs. 1 lit. a und c-e sowie Abs. 2, § 4 Abs. 1 und 2 so- wie § 9 AnwGebV auf Fr. 2'000.– zzgl. MwSt. festzusetzen ist. Diese ist den Beru- fungsklägern aus der Kasse der Vorinstanz auszurichten.</w:t>
      </w:r>
    </w:p>
    <w:p>
      <w:r>
        <w:t>- 17 - Es wird erkannt: 1. In Gutheissung der Berufung der Berufungskläger wird die Verfügung des Einzelgerichts des Bezirksgerichts Uster vom 18. Januar 2017 aufgehoben, und es wird festgestellt, dass die Berufungskläger 1 bis 28 die einzigen ge- setzlichen Erben von B._____, geboren am tt. April 1937, verstorben am tt.mm.2010, sind. Ihnen wird vom Einzelgericht des Bezirksgerichts Uster auf Verlangen ein auf sie lautender Erbschein ausgestellt. 2. Das Notariat Uster als Erbschaftsverwalter wird ermächtigt, das Nachlass- vermögen nach unbenütztem Ablauf der Berufungsfrist den gesetzlichen Er- ben herauszugeben. Die Erbschaftsverwaltung wird auf diesen Zeitpunkt hin (Herausgabe der Hinterlassenschaft) aufgehoben. 3. Die Entscheidgebühr für das erstinstanzliche Verfahren wird auf Fr. 300.– festgesetzt. Die übrigen Kosten betragen Fr. 1'995.25 (Fr. 1'848.35 Publika- tion + Fr. 146.90 Übersetzung). 4. Die Gerichtskosten des erstinstanzlichen Verfahrens werden den gesetzli- chen Erben auferlegt und von der Vorinstanz zu Lasten des Nachlasses vom Erbschaftsverwalter bezogen. 5. Für das Berufungsverfahren werden keine Kosten erhoben. Der von den Be- rufungsklägern bei der Obergerichtskasse geleistete Kostenvorschuss wird ihnen – unter Vorbehalt des Verrechnungsrechts des Staates – erstattet. 6. Den Berufungsklägern wird für das Berufungsverfahren eine Parteientschä- digung von Fr. 2'160.– (inkl. MwSt.) aus der Kasse der Vorinstanz ausge- richtet.</w:t>
      </w:r>
    </w:p>
    <w:p>
      <w:r>
        <w:t>- 18 - 7. Schriftliche Mitteilung an: − die Berufungskläger; − den Berufungsbeklagten, − die Vorinstanz, unter Rücksendung der vorinstanzlichen Akten, − das Notariat Uster als Erbschaftsverwalter, − E._____, … [Adresse], − das Gemeindesteueramt C._____, sowie − das kantonale Steueramt, Inventarkontrolle, 8090 Zürich, je gegen Empfangsschein.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468'000.–. Die Beschwerde an das Bundesgericht hat keine aufschiebende Wirkung. Obergericht des Kantons Zürich II. Zivilkammer Die Gerichtsschreiberin: MLaw N. Seebacher versandt am:</w:t>
      </w:r>
    </w:p>
    <w:p>
      <w:r>
        <w:rPr>
          <w:b/>
        </w:rPr>
        <w:t>E. 2.3</w:t>
      </w:r>
    </w:p>
    <w:p>
      <w:r>
        <w:t>Die Berufungskläger rügen sowohl eine falsche Sachverhaltsermittlung als auch eine falsche Rechtsanwendung durch die Vorinstanz (act. 40 S. 6 ff.). Dies begründen sie zunächst damit, dass die Vorinstanz in tatsächlicher Hinsicht die durch E._____ eingereichte Aufstellung der Verwandtschaft der Erblasserin, aus welcher sich ergebe, dass sie (die Berufungskläger) die lebenden Verwandten des grosselterlichen Stammes väter- und mütterlicherseits seien, unberücksichtigt gelassen habe (act. 40 S. 7, Rz. 8). Zudem habe die Vorinstanz Art. 555 ZGB falsch angewendet, indem sie davon ausgegangen sei, dass sie (die Berufungs- kläger) sich zum Erbgang hätten melden müssen und nun – da sie sich nicht ge- meldet hätten – bei der Erbfolge unberücksichtigt bleiben würden. Vielmehr seien alle (erbberechtigten) Personen, welche der Behörde auf irgendeine Weise be- kannt würden, als Erben vorzumerken. Zudem habe die Behörde selbst nach Fristablauf sich meldende oder ihr bekannt gewordene Erben zu berücksichtigen, sofern das Erbenruf-Verfahren nicht bereits abgeschlossen und die Erbschaft an andere Erben oder das Gemeinwesen abgeliefert worden sei (act. 40 S. 7, Rz. 11). Vorliegend habe die Vorinstanz aufgrund der ihr von E._____ gemachten Angaben davon ausgehen müssen, dass es sich bei den aufgelisteten Verwand- ten aus der grosselterlichen Parentel um die gesetzlichen Erben der Erblasserin handle. Deshalb hätte sie sich entweder bei E._____ bezüglich der Adressen der gesetzlichen Erben oder allenfalls weiterer Angaben erkundigen oder die schwei-</w:t>
      </w:r>
    </w:p>
    <w:p>
      <w:r>
        <w:t>- 12 - zerische Vertretung in Schweden einschalten müssen. Jedenfalls habe die Vor- instanz nicht einfach davon ausgehen dürfen, dass die gesetzlichen Erben nicht ermittelbar seien, sondern sie habe vielmehr aufgrund der Tatsache, dass mehre- re der aufgelisteten Erben einen Jahrgang aus den Fünfzigerjahren hätten, davon ausgehen müssen, dass einige von ihnen noch am Leben und auch ermittelbar seien, was die Berufung des Berufungsbeklagten zur Erbschaft ausschliesse (act. 40 S. 7, Rz. 12). Ausserdem erscheine eine einmalige Publikation in einer schwedischen Tageszeitung wohl kaum als angemessen im Sinne von Art. 555 ZGB (act. 40).</w:t>
      </w:r>
    </w:p>
    <w:p>
      <w:r>
        <w:rPr>
          <w:b/>
        </w:rPr>
        <w:t>E. 2.4</w:t>
      </w:r>
    </w:p>
    <w:p>
      <w:r>
        <w:t>Ein Erbenruf ist – wie bereits ausgeführt – dann durchzuführen, wenn die Behörde im Ungewissen ist, ob der Erblasser Erben hinterlassen hat oder nicht, oder ob ihr alle Erben bekannt sind (vgl. Art. 555 ZGB): Unter den ersten Teilsatz der Norm sind dabei insbesondere auch diejenigen Fälle zu subsumieren, in wel- chen die Behörde im Ungewissen darüber ist, ob ihr bereits bekannte Erben noch leben (vgl. BSK ZGB II-KARRER/VOGT/LEU, 5. Aufl. 2015, Art. 555 N 2). Im konkre- ten Fall wurde der Vorinstanz am 23. April 2015 durch E._____ mitgeteilt, Nach- forschungen in schwedischen Archiven hätten ergeben, dass es insgesamt 29 (recte 28: 31 abzüglich drei doppelt aufgeführte) lebende Erben der Erblasserin aus der grosselterlichen Parentel gebe (vgl. act. 13), wobei dieser Auskunft auch die entsprechenden Nachforschungen inklusive Namen, Geburtsdaten und Sozi- alversicherungsnummern der Erben beilagen (vgl. act. 14-15). In Ihrer Verfügung vom 9. Juli 2015, mit welcher die Vorinstanz in der Folge einen Erbenruf anordne- te, verwies sie zunächst auf die gesetzlichen Voraussetzungen für die Anordnung einer Erbschaftsverwaltung gemäss Art. 554 Abs. 1 Ziff. 3 ZGB, wonach eine Erb- schaftsverwaltung dann anzuordnen ist, wenn nicht alle Erben des Erblassers be- kannt sind, worunter wiederum auch der Fall zu subsumieren ist, in welchem nicht feststeht, ob bereits bekannte Erben noch leben (act. 20 S. 4, E. 3; vgl. auch BSK ZGB II-KARRER/VOGT/ LEU, 5. Aufl. 2015, Art. 554 N 13). Anschliessend hat sie – ohne auf die Verhältnisse des konkreten Falles einzugehen – festgehalten, auf- grund dieser Ungewissheit über die Erbberechtigten sei im Sinne von Art. 555 ZGB ein Erbenruf anzuordnen (act. 20 S. 4, E. 4). Gestützt auf dieses Vorgehen sowie den Umstand, dass sich innert der einjährigen Erbenruffrist niemand formell</w:t>
      </w:r>
    </w:p>
    <w:p>
      <w:r>
        <w:t>- 13 - bei ihr gemeldet habe, ist die Vorinstanz im weiteren zum Schluss gekommen, dass keine gesetzlichen oder eingesetzten Erben ermittelbar oder bekannt seien, weshalb die Erbschaft an das Gemeinwesen falle (act. 39 S. 4, E. 2). Von vornherein nicht ersichtlich ist, weshalb die Vorinstanz, obwohl sie die ihr von E._____ bekannt gegebenen 28 Erben selbst sowohl in ihrer Verfügung vom 9. Juli 2015 (act. 20) als auch in derjenigen vom 18. Januar 2017 (act. 39) als gesetzliche Erben der Erblasserin aufführt, zum Schluss kommt, ihr seien kei- ne gesetzlichen Erben bekannt. Insbesondere rügen die Berufungskläger in die- sem Zusammenhang zu Recht, dass bei der Ermittlung der Erben im Rahmen ei- nes Erbenrufs nicht nur diejenigen Erben zu berücksichtigen seien, welche sich innert der Jahresfirst selbst förmlich gemeldet haben, sondern vielmehr auch die- jenigen Erben (von Amtes wegen) vorzumerken seien, welche der Behörde auf anderem Weg, etwa durch Hinweise von Drittpersonen, bekannt würden (vgl. et- wa KARRER/VOGT/LEU, a.a.O., Art. 555 N 7). Die Rüge, dass die Vorinstanz die Berufungskläger nicht als gesetzliche Erben der Erblasserin berücksichtigt hat, erweist sich deshalb als begründet. Entgegen der Vorinstanz führt sodann der Umstand, dass sich innert der Er- benruffrist keiner der bekannten Erben formell gemeldet und seine Adresse be- kannt gegeben hat, nicht dazu, dass die Erbschaft gestützt auf Art. 466 ZGB an das Gemeinwesen fällt, zumal die Ermittelbarkeit eines bekannten Erben entge- gen der Vorinstanz in Art. 466 ZGB gar nicht erwähnt wird. Vielmehr legt Art. 466 ZGB ausdrücklich fest, dass die Erbschaft (nur) dann an das Gemeinwesen fällt, wenn der Erblasser keine Erben hinterlassen hat. Zwar ist dies auch dann anzu- nehmen, wenn vor Durchführung eines Erbenrufs unklar war, ob Erben (noch) existieren und sich innert der einjährigen Frist von Art. 555 ZGB niemand zur Erb- schaft gemeldet hat. Von diesem Fall abzugrenzen ist jedoch der vorliegende Fall, in welchem bekannt ist, dass gesetzliche Erben existieren, welche – da sie noch am Leben sind – auch tatsächlich zur Erbfolge berufen sind (vgl. KAR- RER/VOGT/LEU, a.a.O., Art. 554 N 16). Sind solche Erben nicht auffindbar, gelangt nicht Art. 466 ZGB, sondern gelangen die Regeln von Art. 547 ff. ZGB zur An- wendung. Zunächst wäre die Vorinstanz jedoch – wie die Berufungskläger eben-</w:t>
      </w:r>
    </w:p>
    <w:p>
      <w:r>
        <w:t>- 14 - falls zu Recht geltend machen – verpflichtet gewesen, den durch E._____ ge- machten Hinweisen nachzugehen und entweder bei dieser oder den schwedi- schen Behörden nachzufragen, ob die Adressen der Erben bekannt oder ermittel- bar sind. Sodann wäre allenfalls die schweizerische Vertretung in Schweden ein- zuschalten gewesen (vgl. dazu auch KARRER/VOGT/ LEU, a.a.O., Art. 555 N 5). Auch insoweit erweist sich die Berufung der Berufungskläger als begründet. Da nunmehr jedoch die Adressen der gesetzlichen Erben bereits bekannt sind, erüb- rigen sich weitere diesbezügliche Abklärungen und damit insbesondere eine Rückweisung des Verfahrens an die Vorinstanz. 3. Fazit</w:t>
      </w:r>
    </w:p>
    <w:p>
      <w:r>
        <w:rPr>
          <w:b/>
        </w:rPr>
        <w:t>E. 3</w:t>
      </w:r>
    </w:p>
    <w:p>
      <w:r>
        <w:t>A3._____, geb. tt.4.1946, weitere Angaben nicht bekannt - G4._____, geb. tt.9.1948, (Sterbedatum nicht bekannt), dessen Nachkommen:</w:t>
      </w:r>
    </w:p>
    <w:p>
      <w:r>
        <w:rPr>
          <w:b/>
        </w:rPr>
        <w:t>E. 3.1</w:t>
      </w:r>
    </w:p>
    <w:p>
      <w:r>
        <w:t>Der Vollständigkeit halber festzuhalten ist zunächst, dass die Vorinstanz im- plizit zu Recht davon ausgegangen ist, dass eine Erbberechtigung des schwedi- schen allgemeinen Erbfonds aufgrund der Anwendbarkeit des schweizerischen Rechts ausser Betracht fällt. Indes ist sie in Anwendung der einschlägigen Best- immungen des schweizerischen Rechts zu Unrecht zum Schluss gekommen, die Erbschaft falle an den Berufungsbeklagten, gelangt die Erbschaft nach dem Ge- sagten doch vielmehr an den Stamm der Grosseltern der Erblasserin väterlicher- und mütterlicherseits und damit an die Berufungskläger 1 bis 28. Da sich innert Jahresfrist von der Veröffentlichung des von der Vorinstanz mit Verfügung vom 9. Juli 2015 gemachten Erbenrufs keine weiteren erbberech- tigten Personen bei der Vorinstanz gemeldet haben, ist vorliegend in Anwendung von Art. 318 Abs. 1 lit. b ZPO festzustellen, dass die Berufungskläger 1 bis 28 die einzigen gesetzlichen Erben der Erblasserin sind. Ihnen ist von der Vorinstanz auf Verlangen ein auf sie lautender Erbschein auszustellen.</w:t>
      </w:r>
    </w:p>
    <w:p>
      <w:r>
        <w:rPr>
          <w:b/>
        </w:rPr>
        <w:t>E. 3.2</w:t>
      </w:r>
    </w:p>
    <w:p>
      <w:r>
        <w:t>Der von der Vorinstanz aufgrund des Anfalls der Erbschaft an das Gemein- wesen verfügte Rechnungsruf (vgl. act. 30 S. 5, E. 3) ist aufgrund der nunmehri- gen Sachlage nicht mehr anzuordnen. Sodann ist mit der Feststellung der gesetz- lichen Erben der Grund, welcher am 9. Juli 2015 zur Anordnung der Erbschafts- verwaltung durch die Vorinstanz geführt hatte (vgl. act. 20), weggefallen. Das No- tariat Uster als Erbschaftsverwalter ist daher zu ermächtigen, den Nachlass nach</w:t>
      </w:r>
    </w:p>
    <w:p>
      <w:r>
        <w:t>- 15 - unbenütztem Ablauf der Berufungsfrist den Berechtigten herauszugeben. Auf die- sen Zeitpunkt hin (Herausgabe der Hinterlassenschaft) ist die Erbschaftsverwal- tung aufzuheben. IV. Kosten- und Entschädigungsfolgen 1. Trifft die Rechtsmittelinstanz einen neuen Entscheid, so entscheidet sie auch über die Prozesskosten des erstinstanzlichen Verfahrens (Art. 318 Abs. 3 ZPO). Die Kosten eines erstinstanzlichen Verfahrens in nicht streitigen Erb- schaftsangelegenheiten sind grundsätzlich von dem bzw. den Erben zu tragen. Die Vorinstanz hat für ihr Verfahren keine Entscheidgebühr erhoben und die wei- teren Kosten (Publikation/Übersetzung) auf die Gerichtskasse genommen, weil sie davon ausgegangen ist, dass dem Kanton Zürich als Erbe gestützt auf Art. 116 Abs. 1 ZPO i.V.m. § 200 lit. a GOG keine Kosten auferlegt werden kön- nen (vgl. act. 39 S. 5, E. 4). Da nunmehr festgestellt wurde, dass die Berufungs- kläger 1 bis 28 die einzigen gesetzlichen Erben der Erblasserin sind, sind die Kos- ten des vorinstanzlichen Verfahrens den Berufungsklägern als Erben aufzuerle- gen. Die Entscheidgebühr für das vorinstanzliche Verfahren ist gestützt auf § 8 Abs. 3 GebV OG auf Fr. 300.– festzusetzen. Die Entscheidgebühr und die übrigen Gerichtskosten des vorinstanzlichen Verfahrens (Publikations- und Übersetzungs- kosten) sind auf Rechnung des Nachlasses vom Notariat Uster als Erbschafts- verwalter zu beziehen.</w:t>
      </w:r>
    </w:p>
    <w:p>
      <w:r>
        <w:rPr>
          <w:b/>
        </w:rPr>
        <w:t>E. 4</w:t>
      </w:r>
    </w:p>
    <w:p>
      <w:r>
        <w:t>A4._____, weitere Angaben nicht bekannt</w:t>
      </w:r>
    </w:p>
    <w:p>
      <w:r>
        <w:rPr>
          <w:b/>
        </w:rPr>
        <w:t>E. 5</w:t>
      </w:r>
    </w:p>
    <w:p>
      <w:r>
        <w:t>A5._____, weitere Angaben nicht bekannt</w:t>
      </w:r>
    </w:p>
    <w:p>
      <w:r>
        <w:rPr>
          <w:b/>
        </w:rPr>
        <w:t>E. 6</w:t>
      </w:r>
    </w:p>
    <w:p>
      <w:r>
        <w:t>A6._____, geb. tt.2.1932, weitere Angaben nicht bekannt - G5._____, geb. tt.5.1940, (Sterbedatum nicht bekannt), deren Nachkommen:</w:t>
      </w:r>
    </w:p>
    <w:p>
      <w:r>
        <w:rPr>
          <w:b/>
        </w:rPr>
        <w:t>E. 7</w:t>
      </w:r>
    </w:p>
    <w:p>
      <w:r>
        <w:t>A7._____, weitere Angaben nicht bekannt</w:t>
      </w:r>
    </w:p>
    <w:p>
      <w:r>
        <w:rPr>
          <w:b/>
        </w:rPr>
        <w:t>E. 8</w:t>
      </w:r>
    </w:p>
    <w:p>
      <w:r>
        <w:t>A8._____, weitere Angaben nicht bekannt</w:t>
      </w:r>
    </w:p>
    <w:p>
      <w:r>
        <w:rPr>
          <w:b/>
        </w:rPr>
        <w:t>E. 9</w:t>
      </w:r>
    </w:p>
    <w:p>
      <w:r>
        <w:t>A9._____, weitere Angaben nicht bekannt</w:t>
      </w:r>
    </w:p>
    <w:p>
      <w:r>
        <w:rPr>
          <w:b/>
        </w:rPr>
        <w:t>E. 10</w:t>
      </w:r>
    </w:p>
    <w:p>
      <w:r>
        <w:t>A10._____, weitere Angaben nicht bekannt - G6._____, geb. tt.2.1928, (Sterbedatum nicht bekannt), dessen Nachkommen:</w:t>
      </w:r>
    </w:p>
    <w:p>
      <w:r>
        <w:rPr>
          <w:b/>
        </w:rPr>
        <w:t>E. 11</w:t>
      </w:r>
    </w:p>
    <w:p>
      <w:r>
        <w:t>A11._____, weitere Angaben nicht bekannt</w:t>
      </w:r>
    </w:p>
    <w:p>
      <w:r>
        <w:rPr>
          <w:b/>
        </w:rPr>
        <w:t>E. 12</w:t>
      </w:r>
    </w:p>
    <w:p>
      <w:r>
        <w:t>A12._____, weitere Angaben nicht bekannt</w:t>
      </w:r>
    </w:p>
    <w:p>
      <w:r>
        <w:rPr>
          <w:b/>
        </w:rPr>
        <w:t>E. 13</w:t>
      </w:r>
    </w:p>
    <w:p>
      <w:r>
        <w:t>A13._____, weitere Angaben nicht bekannt - G7._____, geb. tt.4.1910, gest. tt.mm.1981, ohne Nachkommen vorverstorben - G8._____, geb. tt.2.1902, gest. tt.mm.1984 (Vater der Erblasserin) - G9._____, geb. tt.1.1905, da am tt.mm.1973 vorverstorben, dessen Nachkom- men:</w:t>
      </w:r>
    </w:p>
    <w:p>
      <w:r>
        <w:rPr>
          <w:b/>
        </w:rPr>
        <w:t>E. 14</w:t>
      </w:r>
    </w:p>
    <w:p>
      <w:r>
        <w:t>A14._____, geb. tt.9.1941, weitere Angaben nicht bekannt (zugleich gesetzliche Erbin Nr. 26)</w:t>
      </w:r>
    </w:p>
    <w:p>
      <w:r>
        <w:rPr>
          <w:b/>
        </w:rPr>
        <w:t>E. 15</w:t>
      </w:r>
    </w:p>
    <w:p>
      <w:r>
        <w:t>A16._____, geb. tt.1.1948, weitere Angaben nicht bekannt (zugleich gesetzliche Erbin Nr. 27)</w:t>
      </w:r>
    </w:p>
    <w:p>
      <w:r>
        <w:rPr>
          <w:b/>
        </w:rPr>
        <w:t>E. 16</w:t>
      </w:r>
    </w:p>
    <w:p>
      <w:r>
        <w:t>A15._____, geb. tt.1.1948, weitere Angaben nicht bekannt (zugleich gesetzliche Erbin Nr. 28) - G10._____n, geb. tt.2.1907, da am tt.mm.1987 vorverstorben, dessen Nachkom- men:</w:t>
      </w:r>
    </w:p>
    <w:p>
      <w:r>
        <w:rPr>
          <w:b/>
        </w:rPr>
        <w:t>E. 17</w:t>
      </w:r>
    </w:p>
    <w:p>
      <w:r>
        <w:t>A17._____, geb. tt.4.1938, weitere Angaben nicht bekannt</w:t>
      </w:r>
    </w:p>
    <w:p>
      <w:r>
        <w:t>- 6 -</w:t>
      </w:r>
    </w:p>
    <w:p>
      <w:r>
        <w:rPr>
          <w:b/>
        </w:rPr>
        <w:t>E. 18</w:t>
      </w:r>
    </w:p>
    <w:p>
      <w:r>
        <w:t>A18._____, geb. tt.3.1943, weitere Angaben nicht bekannt</w:t>
      </w:r>
    </w:p>
    <w:p>
      <w:r>
        <w:rPr>
          <w:b/>
        </w:rPr>
        <w:t>E. 19</w:t>
      </w:r>
    </w:p>
    <w:p>
      <w:r>
        <w:t>A19._____, geb. tt.7.1946, weitere Angaben nicht bekannt - G11._____, geb. tt.4.1913, (Sterbedatum nicht bekannt), dessen Nachkommen:</w:t>
      </w:r>
    </w:p>
    <w:p>
      <w:r>
        <w:rPr>
          <w:b/>
        </w:rPr>
        <w:t>E. 20</w:t>
      </w:r>
    </w:p>
    <w:p>
      <w:r>
        <w:t>A20._____, geb. tt.9.1942, weitere Angaben nicht bekannt</w:t>
      </w:r>
    </w:p>
    <w:p>
      <w:r>
        <w:rPr>
          <w:b/>
        </w:rPr>
        <w:t>E. 21</w:t>
      </w:r>
    </w:p>
    <w:p>
      <w:r>
        <w:t>A21._____, weitere Angaben nicht bekannt - G12._____, geb. tt.5.1916, da am tt.mm.2008 vorverstorben, dessen Nachkom- men:</w:t>
      </w:r>
    </w:p>
    <w:p>
      <w:r>
        <w:rPr>
          <w:b/>
        </w:rPr>
        <w:t>E. 22</w:t>
      </w:r>
    </w:p>
    <w:p>
      <w:r>
        <w:t>A22._____, geb. tt.11.1945, weitere Angaben nicht bekannt</w:t>
      </w:r>
    </w:p>
    <w:p>
      <w:r>
        <w:rPr>
          <w:b/>
        </w:rPr>
        <w:t>E. 23</w:t>
      </w:r>
    </w:p>
    <w:p>
      <w:r>
        <w:t>A23._____, geb. tt.5.1951, weitere Angaben nicht bekannt B. Grosselterlicher Stamm mütterlicherseits Nachkommen von H1._____(geb. tt.1.1876, gest. tt.mm.1935) und H2._____, geb. … (geb. tt.3.1877, gest. tt.mm.1951) - H3._____, geb. …, geb. tt.3.1901, da am tt.mm.1982 vorverstorben, deren Sohn: - H4._____, geb. tt.8.1921, (Sterbedatum nicht bekannt), dessen Nachkommen:</w:t>
      </w:r>
    </w:p>
    <w:p>
      <w:r>
        <w:rPr>
          <w:b/>
        </w:rPr>
        <w:t>E. 24</w:t>
      </w:r>
    </w:p>
    <w:p>
      <w:r>
        <w:t>A24._____, geb. tt.12.1945, weitere Angaben nicht bekannt</w:t>
      </w:r>
    </w:p>
    <w:p>
      <w:r>
        <w:rPr>
          <w:b/>
        </w:rPr>
        <w:t>E. 25</w:t>
      </w:r>
    </w:p>
    <w:p>
      <w:r>
        <w:t>A25._____, geb. tt.3.1953, weitere Angaben nicht bekannt - H5._____, geb. tt.8.1902, am tt.mm.1963 ohne Nachkommen vorverstorben - H6._____, geb. tt.7.1904, am tt.mm.1987 ohne Nachkommen vorverstorben - H7._____, geb. …, geb. tt.12.1908, gest. tt.mm..2000 (Mutter der Erblasserin) - H8._____, geb. …, geb. tt.8.1911, da am tt.mm.1999 vorverstorben, deren Nach- kommen:</w:t>
      </w:r>
    </w:p>
    <w:p>
      <w:r>
        <w:rPr>
          <w:b/>
        </w:rPr>
        <w:t>E. 26</w:t>
      </w:r>
    </w:p>
    <w:p>
      <w:r>
        <w:t>A14._____, geb. tt.9.1941, weitere Angaben nicht bekannt (zugleich gesetzliche Erbin Nr. 14)</w:t>
      </w:r>
    </w:p>
    <w:p>
      <w:r>
        <w:rPr>
          <w:b/>
        </w:rPr>
        <w:t>E. 27</w:t>
      </w:r>
    </w:p>
    <w:p>
      <w:r>
        <w:t>A16._____, geb. tt.1.1948, weitere Angaben nicht bekannt (zugleich gesetzliche Erbin Nr. 15)</w:t>
      </w:r>
    </w:p>
    <w:p>
      <w:r>
        <w:rPr>
          <w:b/>
        </w:rPr>
        <w:t>E. 28</w:t>
      </w:r>
    </w:p>
    <w:p>
      <w:r>
        <w:t>A15._____, geb. tt .1.1948, weitere Angaben nicht bekannt (zugleich gesetzliche Erbin Nr. 16) - H9._____, geb. tt.5.1917, (Sterbedatum nicht bekannt), deren Nachkommen:</w:t>
      </w:r>
    </w:p>
    <w:p>
      <w:r>
        <w:rPr>
          <w:b/>
        </w:rPr>
        <w:t>E. 29</w:t>
      </w:r>
    </w:p>
    <w:p>
      <w:r>
        <w:t>A26._____, geb. tt.11.1942, weitere Angaben nicht bekannt</w:t>
      </w:r>
    </w:p>
    <w:p>
      <w:r>
        <w:rPr>
          <w:b/>
        </w:rPr>
        <w:t>E. 30</w:t>
      </w:r>
    </w:p>
    <w:p>
      <w:r>
        <w:t>A27._____, geb. tt.12.1947, weitere Angaben nicht bekannt</w:t>
      </w:r>
    </w:p>
    <w:p>
      <w:r>
        <w:rPr>
          <w:b/>
        </w:rPr>
        <w:t>E. 31</w:t>
      </w:r>
    </w:p>
    <w:p>
      <w:r>
        <w:t>A28._____, geb. tt.10.1951, weitere Angaben nicht bekannt Aussereheliche Nachkommen von H10._____, geb. … (geb. tt.3.1877, gest. tt.mm.1951) - H11._____, geb. tt.3.1898, gest. tt.mm.1898 Weiter hielt die Vorinstanz fest, gemäss Art. 554 Abs. 1 Ziff. 3 ZGB sei die Erbschaftsverwaltung anzuordnen, wenn nicht alle Erben bekannt seien resp. wenn nicht feststehe, ob die bereits bekannten Erben noch leben würden. Im wei- teren wurde das Notariat Uster mit der Erbschaftsverwaltung beauftragt und an- gewiesen, der Vorinstanz eine Abschrift des über den Nachlass aufzunehmenden Inventars einzureichen (act. 20 S. 3, E. 3). Sodann erwog die Vorinstanz, auf- grund dieser Ungewissheit über die Erbberechtigten sei im Sinne von Art. 555 ZGB ein Erbenruf anzuordnen (act. 20 S. 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