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LF160052 vom 24. Oktober 2016</w:t>
      </w:r>
    </w:p>
    <w:p>
      <w:r>
        <w:t>ZH Obergericht, 2016-10-24, DE</w:t>
      </w:r>
    </w:p>
    <w:p>
      <w:r>
        <w:rPr>
          <w:b/>
        </w:rPr>
        <w:t xml:space="preserve">Quelle: </w:t>
      </w:r>
      <w:r>
        <w:t>https://mcp.opencaselaw.ch/entscheid/zh_obergericht_LF160052</w:t>
      </w:r>
    </w:p>
    <w:p>
      <w:r>
        <w:t>FR: ZH_OBERGERICHT LF160052 du 24 octobre 2016</w:t>
      </w:r>
    </w:p>
    <w:p>
      <w:r>
        <w:t>IT: ZH_OBERGERICHT LF160052 del 24 ottobre 2016</w:t>
      </w:r>
    </w:p>
    <w:p>
      <w:pPr>
        <w:pStyle w:val="Heading2"/>
      </w:pPr>
      <w:r>
        <w:t>Erwägungen</w:t>
      </w:r>
    </w:p>
    <w:p>
      <w:r>
        <w:rPr>
          <w:b/>
        </w:rPr>
        <w:t>E. 1.1</w:t>
      </w:r>
    </w:p>
    <w:p>
      <w:r>
        <w:t>Im November 2013 schlossen der Gesuchsgegner und Berufungsbeklagte (im Folgenden: Gesuchsgegner) als Vermieter auf der einen Seite und die Ge- suchstellerin und Berufungsklägerin (im Folgenden: Gesuchstellerin) zusammen mit der D._____ GmbH und der F._____ GmbH als Mieterinnen auf der anderen Seite einen Mietvertrag über Gewerberäume im Gewerbehaus "C._____" in E._____ (act. 22/3/3; im Folgenden: Mietobjekt). Mit Schreiben vom 15. April 2015 setzte der Gesuchsgegner der Gesuchstellerin eine Frist von fünf Tagen zur Zah- lung von CHF 2'100.00 (Mietzins April 2015) und CHF 4'200.00 (Mietzinsdepot) an (act. 22/3/4). Am 1. Mai 2015 teilte die Gesuchstellerin dem Gesuchsgegner mit, dass sie sich in grossen finanziellen Schwierigkeiten befände. Eine Verbesse- rung der Situation sei nicht zu erwarten. Um dem Gesuchsgegner Kosten und Unannehmlichkeiten zu ersparen, sei die Gesuchstellerin bereit, das Mietobjekt per sofort zu verlassen, damit dieses für andere Zwecke vermietet werden könne. Die Gesuchstellerin werde für die weitere Miete leider nicht aufkommen können (act. 22/3/5). Am 13. Mai 2015 teilte die Gesuchstellerin dem Gesuchsgegner mit, dieser habe den am 1. Mai 2015 eingeschrieben gesendeten Brief nicht entge- gengenommen, weshalb dieser nochmals eingeschrieben und per A-Post zuge- stellt werde (act. 22/3/6). Am 29. Juni 2015 quittierte der Gesuchsgegner die Rücknahme der Schlüssel (act. 22/3/7). Die Gesuchstellerin macht geltend, die Schlüsselabgabe sei nicht im gegenseitigen Einverständnis erfolgt (act. 22/1 S. 4). Am 31. August 2015 forderte die Gesuchstellerin den Gesuchsgegner auf, die Schlüssel bis am 4. September 2015 wieder auszuhändigen (act. 22/3/8). Im Schreiben vom 16. September 2015 an den Gesuchsgegner hielt die Gesuchstel- lerin unter anderem fest, der Gesuchsgegner habe die Schlüssel nicht zurückge- geben. Die Gesuchstellerin kündige den Mietvertrag fristlos (act. 22/3/12). Am 28. September 2015 hielt der Gesuchsgegner fest, ihm sei mitgeteilt worden, dass die Gesuchstellerin die Firma an die D._____ GmbH habe übergeben wollen. Offen- bar sei dies nicht mehr der Fall und die Gesuchstellerin wolle aus dem Mietvertrag austreten. Dem stimme der Gesuchsgegner unter Bedingungen zu. Unter ande-</w:t>
      </w:r>
    </w:p>
    <w:p>
      <w:r>
        <w:t>- 5 - rem seien die noch offenen Mietzinse zu zahlen (act. 22/3/16). Mit Schreiben vom 30. September 2015 teilte die Gesuchstellerin dem Gesuchsgegner mit, der Miet- zins sei mittlerweile bis Juni 2015 vollumfänglich bezahlt worden. Das Vertrags- verhältnis sei per Ende Juni 2015 aufgelöst worden. Die Gesuchstellerin schulde dem Gesuchsgegner nichts mehr. Der Gesuchsgegner wurde aufgefordert, der Gesuchstellerin bis spätestens 5. Oktober 2015 Zutritt zu gewähren, damit die Gesuchstellerin Zugriff auf ihr Warenlager und die Geschäftsakten habe (act. 22/3/17). Mit Eingabe vom 8. Oktober 2015 stellte die Gesuchstellerin beim Be- zirksgericht Dielsdorf ein Gesuch um Erlass vorsorglicher Massnahmen und stell- te den Antrag, dem Gesuchsgegner sei zu befehlen, der Gesuchstellerin Zutritt zum Mietobjekt zu geben, damit diese über sämtliche in ihrem Eigentum stehen- den Gegenstände verfügen könne. Das Bezirksgericht Dielsdorf hiess das Ge- such mit Urteil vom 26. Januar 2016 (Geschäfts-Nr. EZ150005) gut, verzichtete aber auf die Ansetzung einer Prosequierungsfrist (act. 22/13). Eine dagegen vom Gesuchsgegner erhobene Berufung hiess die Kammer mit Urteil vom 26. Januar 2016 (Geschäfts-Nr. LF150071) gut und wies das Gesuch ab. Im Wesentlichen wurde erwogen, die Vorinstanz habe mit der Anordnung, der Gesuchsgegner ha- be der Gesuchstellerin Zutritt zur Liegenschaft zu gewähren, damit diese über die streitbetroffenen Gegenstände verfügen könne, verbunden mit dem Verzicht auf die Ansetzung einer Prosequierungsfrist definitiven Rechtsschutz im Kleid eines Massnahmeentscheides gewährt, was unzulässig sei (act. 22/15).</w:t>
      </w:r>
    </w:p>
    <w:p>
      <w:r>
        <w:rPr>
          <w:b/>
        </w:rPr>
        <w:t>E. 1.2</w:t>
      </w:r>
    </w:p>
    <w:p>
      <w:r>
        <w:t>Mit Eingabe vom 19. Februar 2016 gelangte die Gesuchstellerin erneut an das Bezirksgericht Dielsdorf und stellte die eingangs erwähnten Rechtsbegehren (act. 1). Nach durchgeführtem Verfahren trat die Vorinstanz auf die Rechtsbegeh- ren Ziffern 1 bis 3 nicht ein und wies das Rechtsbegehren Ziffer 4 ab (act. 28). Dieser Entscheid wurde der Gesuchstellerin am 5. August 2016 zugestellt (act. 26/1). Mit Eingabe vom 12. August 2016 (Datum Poststempel) erhob sie rechtzei- tig Berufung (act. 29). Mit Verfügung vom 25. August 2016 wurde der Gesuchstel- lerin Frist zur Leistung eines Gerichtskostenvorschusses von CHF 1'500.00 ange- setzt (act. 32). Nachdem innert Frist keine Zahlung eingegangen war, wurde der Gesuchstellerin am 15. September 2016 eine Nachfrist angesetzt (act. 34). Am</w:t>
      </w:r>
    </w:p>
    <w:p>
      <w:r>
        <w:t>- 6 - 16. September 2016 wurde der Vorschuss geleistet (act. 36). Die Akten der Vor- instanz wurden beigezogen. Das Verfahren ist spruchreif.</w:t>
      </w:r>
    </w:p>
    <w:p>
      <w:r>
        <w:rPr>
          <w:b/>
        </w:rPr>
        <w:t>E. 2.1</w:t>
      </w:r>
    </w:p>
    <w:p>
      <w:r>
        <w:t>Die Vorinstanz erwog, die Gesuchstellerin behaupte, die Gegenstände gemäss Klagebeilagen act. 3/2 und 3/3 befänden sich im Mietobjekt und sie stün- den in ihrem Eigentum. Dies sei vom Gesuchsgegner bestritten und von der Ge- suchstellerin nicht bewiesen worden. Auf das Rechtsbegehren Ziffer 1 sei deshalb mangels Anspruchsliquidität im Sinne von Art. 257 Abs. 1 lit. a ZPO gemäss Ab- satz 3 dieser Bestimmung nicht einzutreten. Da auf den Antrag in der Hauptsache nicht einzutreten sei, entfalle auch die Anordnung von Vollstreckungsmassnah- men gemäss Rechtsbegehren Ziffer 2 sowie die Anordnung von vorsorglichen Massnahmen gemäss Rechtsbegehren Ziffer 3, weshalb auch auf diese Anträge nicht einzutreten sei (act. 28 S. 13 - 14). Das Bezirksgericht Dielsdorf trat in Dis- positiv Ziffer 1 des angefochtenen Entscheides auf die Rechtsbegehren Ziffern 1 – 3 nicht ein. In Bezug auf das Rechtsbegehren Ziffer 4 hielt die Vorinstanz fest, die Gesuch- stellerin strebe damit die Durchsetzung des behaupteten Vindikationsanspruchs an, wobei es ihr um die definitive Durchsetzung des behaupteten Rechts im Klei- de einer vorsorglichen Massnahme gehe. Wie das Obergericht im Entscheid vom 26. Januar 2016 festgehalten habe, sei dies nicht zulässig, da die Gutheissung des Begehrens das Hauptsachenverfahren präjudizieren würde. Das Bezirksge- richt Dielsdorf wies deshalb in Dispositiv Ziffer 2 das Rechtsbegehren Ziffer 4 ab. Die Gesuchstellerin hat Dispositiv Ziffer 1 des Urteils vom 7. Juli 2016 nicht ange- fochten. Der Nichteintretensentscheid hinsichtlich der Rechtsbegehren Ziffern 1 bis 3 ist rechtskräftig. Die Berufung richtet sich gegen die Abweisung des Rechts- begehrens Ziffer 4.</w:t>
      </w:r>
    </w:p>
    <w:p>
      <w:r>
        <w:rPr>
          <w:b/>
        </w:rPr>
        <w:t>E. 2.2</w:t>
      </w:r>
    </w:p>
    <w:p>
      <w:r>
        <w:t>Die Gesuchstellerin behauptet nach wie vor, im Mietobjekt befänden sich Gegenstände, die in ihrem Eigentum stünden. Sie verlangt mit dem hier zu beur- teilenden Rechtsbegehren Ziffer 4 (im Gegensatz zum rechtskräftig beurteilten</w:t>
      </w:r>
    </w:p>
    <w:p>
      <w:r>
        <w:t>- 7 - Massnahmebegehren gemäss Rechtsbegehren Ziffer 3a) nicht nur die Gutheis- sung einer Sicherungsmassnahme, sondern die Herausgabe der Gegenstände. Damit versucht sie erneut, den von ihr behaupteten Vindikationsanspruch auf dem Weg der vorsorglichen Massnahme durchzusetzen, was nicht zulässig ist. Die Vorinstanz hat darauf mit Verweis auf den Entscheid der Kammer vom 26. Januar 2016 zutreffend hingewiesen. Der Umstand, dass die Gesuchstellerin – im Unter- schied zum früheren Verfahren – neu die Ansetzung einer Prosequierungsfrist verlangt, ändert daran nichts. Denn würde das Begehren gutgeheissen und hätte der Gesuchsgegner anordnungsgemäss die Gegenstände herausgegeben, hätte die Gesuchstellerin den von ihr geltend gemachten Vindikationsanspruch durch- gesetzt und es gäbe nichts mehr zu prosequieren. Die Gesuchstellerin führt auch nicht aus, welches Rechtsbegehren sie in einem Hauptverfahren noch stellen wollte. Um Missverständnisse zu vermeiden ist darauf hinzuweisen, dass damit nicht gesagt wird, eine vorsorgliche Massnahme könne nie eine Verpflichtung zu einem Tun beinhalten. Das Gericht kann insbesondere gemäss Art. 262 lit. d ZPO zu einer Sachleistung verpflichten, hat aber bei Anordnung einer solchen Leis- tungsmassnahme ganz besonders zurückhaltend zu sein (so denn auch etwa KuKo ZPO-Kofmel Ehrenzeller, 2. Auflage, Art. 261 N 9). Eine Leistungsmass- nahme kann zulässig sein, auch wenn sie faktisch Verhältnisse schafft, die nicht mehr rückgängig gemacht werden können (beispielsweise ein vorsorgliches Kon- kurrenzverbot). Unzulässig bleibt aber eine Anordnung, die einen definitiven Rechtsschutz gewährt (BGE 138 III 728 E. 2.7.). Die Gesuchstellerin, die im Übri- gen nicht aufzeigt, mit welchem Rechtsbegehren sie einen gutheissenden Mass- nahmeentscheid noch prosequieren könnte, strebt wie im letzten Verfahren wie- derum unzulässigerweise definitiven Rechtsschutz im Kleid der vorsorglichen Massnahme an. Die Vorinstanz hat das Rechtsbegehren Ziffer 4 zu Recht abge- wiesen.</w:t>
      </w:r>
    </w:p>
    <w:p>
      <w:r>
        <w:rPr>
          <w:b/>
        </w:rPr>
        <w:t>E. 2.3</w:t>
      </w:r>
    </w:p>
    <w:p>
      <w:r>
        <w:t>Der Vollständigkeit halber ist auf Folgendes hinzuweisen. Die Anordnung einer vorsorglichen Massnahme setzt voraus, dass die Gesuchstellerin glaubhaft macht, dass ein ihr zustehender Anspruch verletzt ist oder eine Verletzung zu be- fürchten ist und, dass ihr aus der Verletzung ein nicht leicht wiedergutzumachen- der Nachteil droht (Art. 261 Abs. 1 lit. a und b ZPO).</w:t>
      </w:r>
    </w:p>
    <w:p>
      <w:r>
        <w:t>- 8 - Nach Darstellung der Gesuchstellerin sind die D._____ GmbH und die F._____ GmbH nach wie vor im Mietobjekt und haben Zugriff auf die im Streit liegenden Gegenstände (act. 1 S. 8). Da das Mietobjekt vermietet ist, hat der Gesuchsgeg- ner als Vermieter keine Berechtigung, das Mietobjekt zu betreten, um dort Ge- genstände zu behändigen und sie der Gesuchstellerin herauszugeben. Dies weil die Mieter grundsätzlich das ausschliessliche Recht auf den Gebrauch der Sache haben, was das Recht einschliesst, jeder Person – und damit auch dem Vermieter – den Zutritt zum Mietobjekt zu verbieten (vgl. Lachat / Püntener, Mietrecht für die Praxis, 8. Auflage, S. 714, BSK StGB II-Delnon/Rüdy, 3. Auflage, Art. 186 N 19 mit Hinweis auf BGE 83 IV 156). Der Gesuchsgegner, der ohne Einwilligung der Mieter das Mietobjekt nicht betreten darf, hat keine Sachherrschaft über die be- weglichen Sachen der Mieter und ist damit nicht unmittelbarer Besitzer. Er ist aber auch kein mittelbarer Besitzer, da ein Besitzmittlungsverhältnis nicht behauptet wurde (dazu vgl. BSK ZGB II-Ernst, Art. 920 N 7 f). Entgegen der Ansicht des Ge- suchstellers, der die Passivlegitimation des Gesuchsgegners aus dessen ver- meintlichem Besitz ableitet (act. 1 S. 8), kann der Gesuchsteller vom Gesuchs- gegner nicht gestützt auf 641 Abs. 2 ZGB die Herausgabe der im Streit liegenden Gegenstände verlangen, da dies unter anderem den unmittelbaren oder mittelba- ren Besitz des Beklagten voraussetzen würde (vgl. BSK ZGB II-Wiegand, 5. Auf- lage, Art. 641 N 46 ff.). Ein Anspruch im Sinne von Art. 261 Abs. 1 lit. a ZPO ist nicht glaubhaft gemacht. Die Gesuchstellerin macht geltend, sie könne ohne die strittigen Gegenstände ih- rer geschäftlichen Tätigkeit nicht mehr nachgehen und sie habe in den vergange- nen acht Monaten sehr hohe Umsatzeinbussen verzeichnen müssen (act. 1 S. 10). Sie nennt die Umsatzeinbusse nicht, auch nicht die Grössenordnung. Sie er- klärt auch nicht, inwiefern sie ohne die strittigen Gegenstände in der Ausübung ih- rer Geschäftstätigkeit behindert wird. Das Vorhandensein eines nicht leicht wie- dergutzumachenden Nachteils im Sinne von Art. 261 Abs. 1 lit. b ZPO ist zu ver- neinen, zumal an diese Massnahmevoraussetzung besonders hohe Anforderun- gen zu stellen sind, wenn der Gesuchsgegner zu einem Tun verpflichtet werden soll (vgl. wie dazu etwa KuKo ZPO-Kofmel Ehrenzeller, 2. Auflage, Art. 261 N 9).</w:t>
      </w:r>
    </w:p>
    <w:p>
      <w:r>
        <w:t>- 9 - Nach dem Gesagten ist die Berufung abzuweisen und Dispositiv Ziffer 2 des an- gefochtenen Entscheides ist zu bestätigen.</w:t>
      </w:r>
    </w:p>
    <w:p>
      <w:r>
        <w:rPr>
          <w:b/>
        </w:rPr>
        <w:t>E. 3</w:t>
      </w:r>
    </w:p>
    <w:p>
      <w:r>
        <w:t>Die Gesuchstellerin wird verpflichtet, dem Gesuchsgegner für das erstin- stanzliche Verfahren eine Parteientschädigung von CHF 3'000.00 zu be- zahlen.</w:t>
      </w:r>
    </w:p>
    <w:p>
      <w:r>
        <w:rPr>
          <w:b/>
        </w:rPr>
        <w:t>E. 4</w:t>
      </w:r>
    </w:p>
    <w:p>
      <w:r>
        <w:t>Die zweitinstanzliche Entscheidgebühr wird auf CHF 1'500.00 festgesetzt, der Gesuchstellerin auferlegt und mit dem von ihr geleisteten Kostenvor- schuss verrechnet.</w:t>
      </w:r>
    </w:p>
    <w:p>
      <w:r>
        <w:t>- 10 -</w:t>
      </w:r>
    </w:p>
    <w:p>
      <w:r>
        <w:rPr>
          <w:b/>
        </w:rPr>
        <w:t>E. 5</w:t>
      </w:r>
    </w:p>
    <w:p>
      <w:r>
        <w:t>Für das zweitinstanzliche Verfahren werden keine Parteientschädigungen zugesprochen.</w:t>
      </w:r>
    </w:p>
    <w:p>
      <w:r>
        <w:rPr>
          <w:b/>
        </w:rPr>
        <w:t>E. 6</w:t>
      </w:r>
    </w:p>
    <w:p>
      <w:r>
        <w:t>Schriftliche Mitteilung an die Parteien, an den Gesuchsgegner unter Beilage des Doppels von act. 29, sowie an das Bezirksgericht Dielsdorf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liegt unter CHF 30'000.00. Die Beschwerde an das Bundesgericht hat keine aufschiebende Wirkung. Obergericht des Kantons Zürich II. Zivilkammer Der Leitende Gerichtsschreiber: lic.iur. M. Hinden versandt am: 24.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