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LF160031 vom 25. Mai 2016</w:t>
      </w:r>
    </w:p>
    <w:p>
      <w:r>
        <w:t>ZH Obergericht, 2016-05-25, DE</w:t>
      </w:r>
    </w:p>
    <w:p>
      <w:r>
        <w:rPr>
          <w:b/>
        </w:rPr>
        <w:t xml:space="preserve">Quelle: </w:t>
      </w:r>
      <w:r>
        <w:t>https://mcp.opencaselaw.ch/entscheid/zh_obergericht_LF160031</w:t>
      </w:r>
    </w:p>
    <w:p>
      <w:r>
        <w:t>FR: ZH_OBERGERICHT LF160031 du 25 mai 2016</w:t>
      </w:r>
    </w:p>
    <w:p>
      <w:r>
        <w:t>IT: ZH_OBERGERICHT LF160031 del 25 maggio 2016</w:t>
      </w:r>
    </w:p>
    <w:p>
      <w:pPr>
        <w:pStyle w:val="Heading2"/>
      </w:pPr>
      <w:r>
        <w:t>Erwägungen</w:t>
      </w:r>
    </w:p>
    <w:p>
      <w:r>
        <w:rPr>
          <w:b/>
        </w:rPr>
        <w:t>E. 1</w:t>
      </w:r>
    </w:p>
    <w:p>
      <w:r>
        <w:t>Der Gesuchsteller und Berufungsbeklagte (nachfolgend Berufungsbeklagter) vermietete der Gesuchsgegnerin 1 und Berufungsklägerin (nachfolgend Beru- fungsklägerin) mit Mietvertrag vom 18. März 2010 die Büro-/Wohnräumlichkeiten im Erdgeschoss an der C._____-Strasse …, … Zürich mit 2 Kellerabteilen und 2 Abstellplätzen auf den 1. April 2010 zu einem Monatsmietzins von Fr. 4'000.– (act. 4/1). Gemäss Zusatzvereinbarung desselben Tages wurde vorgesehen, dass die Berufungsklägerin darin eine Praxis für traditionelle chinesische Massa- ge betreibt (act. 4/2). In einem weiteren Zusatzvertrag vereinbarten die Parteien am 29. November 2010 die Rückgabe eines Abstellplatzes sowie eine Mietzinsre-</w:t>
      </w:r>
    </w:p>
    <w:p>
      <w:r>
        <w:t>- 4 - duktion um Fr. 150.– ab dem 1. Dezember 2010 (act. 4/3). Nach Antritt des Miet- verhältnisses zog die Berufungsklägerin teilweise mit Genehmigung des Beru- fungsbeklagten Holzwände in die gesamten Räumlichkeiten und vermietete die so entstandenen Abteile als möblierte Zimmer an bis zu 11 Personen (act. 30 S. 2, act. 1 S. 6, act. 4/4/1-11, act. 4/5, vgl. auch act. 35 S. 2).</w:t>
      </w:r>
    </w:p>
    <w:p>
      <w:r>
        <w:rPr>
          <w:b/>
        </w:rPr>
        <w:t>E. 2</w:t>
      </w:r>
    </w:p>
    <w:p>
      <w:r>
        <w:t>Die zweitinstanzliche Entscheidgebühr wird auf Fr. 1'275.– festgesetzt.</w:t>
      </w:r>
    </w:p>
    <w:p>
      <w:r>
        <w:rPr>
          <w:b/>
        </w:rPr>
        <w:t>E. 3</w:t>
      </w:r>
    </w:p>
    <w:p>
      <w:r>
        <w:t>Die Gerichtskosten für das zweitinstanzliche Verfahren werden der Beru- fungsklägerin auferlegt und mit ihrem Kostenvorschuss verrechnet.</w:t>
      </w:r>
    </w:p>
    <w:p>
      <w:r>
        <w:rPr>
          <w:b/>
        </w:rPr>
        <w:t>E. 4</w:t>
      </w:r>
    </w:p>
    <w:p>
      <w:r>
        <w:t>Es werden keine Parteientschädigungen zugesprochen.</w:t>
      </w:r>
    </w:p>
    <w:p>
      <w:r>
        <w:rPr>
          <w:b/>
        </w:rPr>
        <w:t>E. 5</w:t>
      </w:r>
    </w:p>
    <w:p>
      <w:r>
        <w:t>Schriftliche Mitteilung an die Parteien, an den Berufungsbeklagten unter Bei- lage der Doppel von act. 30, act. 35 und act. 38, sowie an das Bezirksgericht Zürich, Einzelgericht Audienz, und an die Obergerichtskasse, je gegen Emp- 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- 9 - Dies ist ein Endentscheid im Sinne von Art. 90 BGG. Es handelt sich um eine mietrechtliche Angelegenheit. Der Streitwert beträgt Fr. 23'100.–. Die Beschwerde an das Bundesgericht hat keine aufschiebende Wirkung. Obergericht des Kantons Zürich II. Zivilkammer Die Gerichtsschreiberin: Dr.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