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LF160015 vom 3. Mai 2016</w:t>
      </w:r>
    </w:p>
    <w:p>
      <w:r>
        <w:t>ZH Obergericht, 2016-05-03, DE</w:t>
      </w:r>
    </w:p>
    <w:p>
      <w:r>
        <w:rPr>
          <w:b/>
        </w:rPr>
        <w:t xml:space="preserve">Quelle: </w:t>
      </w:r>
      <w:r>
        <w:t>https://mcp.opencaselaw.ch/entscheid/zh_obergericht_LF160015</w:t>
      </w:r>
    </w:p>
    <w:p>
      <w:r>
        <w:t>FR: ZH_OBERGERICHT LF160015 du 3 mai 2016</w:t>
      </w:r>
    </w:p>
    <w:p>
      <w:r>
        <w:t>IT: ZH_OBERGERICHT LF160015 del 3 maggio 2016</w:t>
      </w:r>
    </w:p>
    <w:p>
      <w:pPr>
        <w:pStyle w:val="Heading2"/>
      </w:pPr>
      <w:r>
        <w:t>Erwägungen</w:t>
      </w:r>
    </w:p>
    <w:p>
      <w:r>
        <w:rPr>
          <w:b/>
        </w:rPr>
        <w:t>E. 1</w:t>
      </w:r>
    </w:p>
    <w:p>
      <w:r>
        <w:t>Die Gesuchsgegnerin und Berufungsklägerin (fortan Berufungsklägerin) und ihr Ehemann, D._____, mieteten mit schriftlichem Vertrag sowie einer schriftlichen Zusatzvereinbarung vom 13. Mai 1981 von der Gesuchstellerin und Berufungsbe- klagten (fortan Berufungbeklagte) das 4 ½-Zimmer Reihen-Einfamilienhaus an der C._____strasse ... in ... (act. 6 sowie act. 12/1). Am tt.mm.2009 verstarb D._____ und hinterliess als einzige gesetzliche Erben die Berufungsklägerin sowie die Tochter E._____ (act. 12/2). Mit Schreiben vom 29. Juni 2015 mahnte die Beru- fungsbeklagte die Berufungsklägerin für ausstehende Mietzinse im Gesamtbetrag von Fr. 15'632.–. Sie forderte die Berufungsklägerin darin weiter auf, den ausste- henden Betrag umgehend zu überweisen. Sofern die Zahlung nicht innert 30 Tagen erfolge, werde das Mietverhältnis gestützt auf Art. 257d OR ausseror- dentlich gekündigt (act. 3/1). Mit Brief vom 20. Juli 2015 stellte die Berufungsbe- klagte der Berufungsklägerin ein inhaltlich identisches Schreiben zu, welches die- se am 23. Juli 2015 in Empfang nahm (act. 3/2). Mit amtlichem Formular vom 20. August 2015 sprach die Berufungsbeklagte gegenüber der Berufungsklägerin die ausserordentliche Kündigung des Mietverhältnisses per 30. September 2015</w:t>
      </w:r>
    </w:p>
    <w:p>
      <w:r>
        <w:t>- 4 - aus. Das Schreiben wurde der Berufungsklägerin am 25. August 2015 zugestellt (act. 3/3).</w:t>
      </w:r>
    </w:p>
    <w:p>
      <w:r>
        <w:rPr>
          <w:b/>
        </w:rPr>
        <w:t>E. 2</w:t>
      </w:r>
    </w:p>
    <w:p>
      <w:r>
        <w:t>Am 11. Dezember 2015 stellte die Berufungsbeklagte beim Bezirksgericht Dielsdorf (nachfolgend Vorinstanz) das eingangs erwähnte Ausweisungsbegehren (act. 1-3). Mit Verfügung vom 16. Dezember 2015 forderte diese diverse Unterla- gen nach und setzte der Berufungsbeklagten Frist an zur Leistung eines Kosten- vorschusses von Fr. 1'600.– (act. 4). Mit Präsidialverfügung vom 22. Dezember 2015 sistierte die Schlichtungsbehörde des Bezirksgerichts Dielsdorf das von der Berufungsklägerin im September 2015 eingeleitete Schlichtungsverfahren betref- fend die Anfechtung der Kündigung vom 20. August 2015 und eventualiter bean- tragter Erstreckung des Mietverhältnisses bis zur rechtskräftigen Erledigung des vorliegenden Ausweisungsverfahrens (act. 7). Nachdem die Berufungsbeklagte den Kostenvorschuss fristgerecht geleistet hatte (act. 8) und die fehlenden Doku- mente nachgereicht (act. 9) bzw. beigezogen (act. 5-6) worden waren, reichte die Berufungsklägerin innert der ihr angesetzten Frist (act. 10) die Stellungnahme zum Ausweisungsbegehren samt Beilagen ein (act. 11-12). Die Berufungsbeklag- te liess sich dazu nicht mehr vernehmen (act. 13 sowie act. 14). Mit Urteil vom 27. Januar 2016 hiess die Vorinstanz das Ausweisungsbegehren der Berufungs- beklagten gut und verpflichtete die Berufungsklägerin unter Androhung der Zwangsvollstreckung im Unterlassungsfalle, das Mietobjekt unverzüglich und in ordnungsgemässen Zustand der Berufungsbeklagten zu übergeben (act. 14 = act. 18 = act. 20).</w:t>
      </w:r>
    </w:p>
    <w:p>
      <w:r>
        <w:rPr>
          <w:b/>
        </w:rPr>
        <w:t>E. 3</w:t>
      </w:r>
    </w:p>
    <w:p>
      <w:r>
        <w:t>Im Streit liegt ein Gesuch um Rechtsschutz in klaren Fällen nach Art. 257 ZPO (act. 1 ff.). Wie die Vorinstanz bereits zutreffend festhielt (act. 18 S. 4), ge- währt das Einzelgericht gemäss Art. 257 Abs. 1 ZPO diesen Rechtsschutz im summarischen Verfahren, wenn einerseits der Sachverhalt – d.h. die anspruchs- begründenden Tatsachen (vgl. statt vieler BSK ZPO-Hofmann, 2. Aufl. 2013, Art. 257 N 8) – unbestritten oder sofort beweisbar (lit. a) und andererseits die Rechtslage klar ist (lit. b). Ist ein Sachverhalt umstritten, so hat die gesuchstellen- de Partei dazu den vollen Beweis ohne zeitliche Verzögerung und ohne besonde- ren Aufwand zu erbringen, damit von einem klaren Fall im Sinne von Art. 257 Abs. 1 lit. a ZPO ausgegangen werden kann (BGer 4A_184/2015 vom 11. August 2015, E. 4.2.1; BGE 138 III 123, E. 2.1.1; 138 III 620, E. 5.1.1 mit zahlreichen Hinweisen). Es obliegt ausschliesslich der gesuchstellenden Partei, für klare Ver- hältnisse zu sorgen (BGE 138 III 620, E. 5.1.1; vgl. auch ZK ZPO-Sutter- Somm/Lörtscher, 3. Aufl. 2016, Art. 257 N 6 f.).</w:t>
      </w:r>
    </w:p>
    <w:p>
      <w:r>
        <w:rPr>
          <w:b/>
        </w:rPr>
        <w:t>E. 4.1</w:t>
      </w:r>
    </w:p>
    <w:p>
      <w:r>
        <w:t>Das Ausweisungsbegehren der Berufungsbeklagten stützt sich auf eine ausserordentliche Zahlungsverzugskündigung eines Mietverhältnisses über Wohnräume nach Art. 257d OR (act. 1). Danach ist der Vermieter bei Vorliegen der Voraussetzungen nach Art. 257d Abs. 1 OR berechtigt, dem Mieter bei nicht</w:t>
      </w:r>
    </w:p>
    <w:p>
      <w:r>
        <w:t>- 9 - fristgerechter Bezahlung der ausstehenden Mietzinse mit einer Frist von mindes- tens 30 Tagen auf das Ende eines Monats zu kündigen (Art. 257d Abs. 2 OR). Nach den soeben beschriebenen Grundsätzen in Art. 257 ZPO (vgl. Ziff. III./3) hat dabei die gesuchstellende Partei bei entsprechender Bestreitung durch die Ge- genpartei den vollen Beweis zu erbringen, dass die Kündigung rechtsgültig erfolgt ist.</w:t>
      </w:r>
    </w:p>
    <w:p>
      <w:r>
        <w:rPr>
          <w:b/>
        </w:rPr>
        <w:t>E. 4.2</w:t>
      </w:r>
    </w:p>
    <w:p>
      <w:r>
        <w:t>Die Kündigung eines Mietverhältnisses ist eine empfangsbedürftige Wil- lenserklärung. Bei mehreren Mietern ist die Kündigung gegenüber allen Mitmie- tern zu erklären; andernfalls ist sie nichtig (BGE 140 III 491, E. 4.2.1; Schmid, Die gemeinsame Miete - Ausgewählte Fragen, AJP 2016, S. 31 ff., S. 35 m.w.H.; ZK OR-Higi, Vorbem. zu Art. 253-274g N 120; Lachat et al., Das Mietrecht für die Praxis, 8. Aufl. 2009, S. 18 m.w.H. sowie S. 518 f.). Zu ihrer Gültigkeit bedarf es daher in jedem Fall der Klarheit über die Mietparteien.</w:t>
      </w:r>
    </w:p>
    <w:p>
      <w:r>
        <w:rPr>
          <w:b/>
        </w:rPr>
        <w:t>E. 4.3</w:t>
      </w:r>
    </w:p>
    <w:p>
      <w:r>
        <w:t>Nach Darstellung der Berufungsbeklagten vor der Vorinstanz ist die Beru- fungsklägerin alleinige Mieterin des Mietobjekts (act. 1). Entsprechend adressierte sie die Abmahnungen nach Art. 257d Abs. 1 OR vom 29. Juni 2015 (act. 3/1) bzw. vom 20. Juli 2015 (act. 3/2) sowie auch das Kündigungsschreiben vom 20. August 2015 (act. 3/3) einzig an sie. In ihrer Stellungnahme vom 12. Januar 2016 wider- sprach die Berufungsklägerin allerdings dieser Version und wies darauf hin, dass E._____ und sie Rechtsnachfolgerinnen des verstorbenen D._____, welcher sei- nerseits Mietpartei gewesen sei, seien (act. 11). Damit bestritt die Berufungsklä- gerin bereits vor der Vorinstanz, alleinige Mieterin des Mietobjekts zu sein. Die Darstellung der Berufungsbeklagten, wonach die Berufungsklägerin vor der Vo- rinstanz in diesem Zusammenhang nur den Erbschein des verstorbenen Mitmie- ters D._____ vorgelegt habe (act. 38 S. 3), ist unvollständig.</w:t>
      </w:r>
    </w:p>
    <w:p>
      <w:r>
        <w:rPr>
          <w:b/>
        </w:rPr>
        <w:t>E. 4.4</w:t>
      </w:r>
    </w:p>
    <w:p>
      <w:r>
        <w:t>Es wäre demnach nach den Grundsätzen von Art. 257 Abs. 1 lit. a ZPO an der Berufungsbeklagten gewesen, sofort und strikte die alleinige Mieterschaft der Berufungsklägerin zu beweisen, um die Gültigkeit der Kündigung zu belegen. Der eingereichte Mietvertrag lautet allerdings auf A._____ und D._____ als gemein- schaftliche Mieter (act. 6 S. 1; act. 12/1 S. 1), was auch die Vorinstanz bereits zu- treffend erkannte (act. 18 S. 6). Ein anderes Beweismittel, das die Berufungsklä-</w:t>
      </w:r>
    </w:p>
    <w:p>
      <w:r>
        <w:t>- 10 - gerin als alleinige Mieterin des Mietobjekts ausweisen würde, reichte die Beru- fungsbeklagte vor der Vorinstanz nicht ein. Auch stellte sie zu ihrer Behauptung keine weiteren Beweisanträge (act. 1 ff.). Vielmehr liess sich die Berufungsbe- klagte nach Eingang der Stellungnahme der Gegenpartei vor der Vorinstanz nicht mehr vernehmen (act. 18 S. 2). Damit vermochte sie den erforderlichen strikten Beweis der alleinigen Mieterschaft der Berufungsklägerin nach Art. 257 Abs. 1 lit. a ZPO nicht zu erbringen. Daran ändert auch das Argument nichts, dass der Vertrag vor über 30 Jahren geschlossen worden sei (act. 5).</w:t>
      </w:r>
    </w:p>
    <w:p>
      <w:r>
        <w:rPr>
          <w:b/>
        </w:rPr>
        <w:t>E. 5.1</w:t>
      </w:r>
    </w:p>
    <w:p>
      <w:r>
        <w:t>Nach der in BGE 138 III 620 begründeten – und in BGE 140 III 315 (vgl. dessen unpublizierte Erwägung 4.1 = BGer, 4A_68/2014 vom 16. Juni 2014, E. 4.1) bereits bestätigten – Praxis des Bundesgerichts, liegt dann kein klarer Fall mehr vor, wenn die Gegenpartei substantiiert und schlüssig Einwendungen gegen einen grundsätzlich bewiesenen Sachverhalt vorträgt, die in tatsächlicher Hinsicht nicht umgehend widerlegt werden können und die geeignet sind, die richterliche Überzeugung zu erschüttern. Demnach genügen bereits Einwendungen, die nicht offensichtlich unbegründet sind oder nicht haltlos erscheinen, worauf auch die Be- rufungsklägerin bereits zutreffend hinwies (act. 19 S. 3). Die Gegenpartei muss insbesondere nicht darlegen, weshalb eine bestrittene Behauptung unrichtig sei. Sie ist auch nicht verpflichtet, eine eigene Version der Tatsachen in den Prozess einzuführen (statt vieler: ZK ZPO-Leuenberger, 3. Aufl. 2016, Art. 222 N 22 mit Hinweisen). Denn dies würde dazu führen, dass die Gegenpartei - als grundsätz- lich beweisbefreite Partei - darzutun hätte, weshalb eine bestrittene Behauptung unrichtig ist, was einer unzulässigen Beweislastumkehr gleichkäme (BGE 117 II 113, E. 2; 115 II 1, E. 4 und zuletzt BGer, 4A_630/2014 vom 4. Februar 2015, E. 3). Die Gegenpartei muss ihre Einwendungen somit nicht einmal glaubhaft ma- chen – geschweige denn beweisen –, damit ein klarer Fall verneint werden kann (BGE 138 III 620, E. 5.1.1).</w:t>
      </w:r>
    </w:p>
    <w:p>
      <w:r>
        <w:rPr>
          <w:b/>
        </w:rPr>
        <w:t>E. 5.2</w:t>
      </w:r>
    </w:p>
    <w:p>
      <w:r>
        <w:t>Wendet man diese Rechtsprechung zu den Einwendungen und Einreden bereits auf das Stadium der Bestreitungen an (dahingehend Egli, Rechtsschutz in</w:t>
      </w:r>
    </w:p>
    <w:p>
      <w:r>
        <w:t>- 11 - klaren Fällen, in: PraxiZ, Band 2, Zivilprozess – aktuell, Zürich 2013, S. 1 ff., S. 11), so dürfen die entsprechenden Anforderungen selbstredend nicht höher angesetzt werden als bei den Einwendungen und Einreden. Bestreitungen sind somit nicht glaubhaft zu machen, sie dürfen nur nicht offensichtlich unbegründet beziehungsweise haltlos sein, wodurch sie zu blossen Schutzbehauptungen ver- kämen (BGer, 5A_645/2011 vom 17. November 2011, E. 1.2 m.w.H.; vgl. auch BGer, 4A_273/2012 vom 30. Oktober 2012, E. 5.1.1 sowie KuKo ZPO-Jent- Sørensen, 2. Aufl. 2013, Art. 257 N 11 m.w.H.).</w:t>
      </w:r>
    </w:p>
    <w:p>
      <w:r>
        <w:rPr>
          <w:b/>
        </w:rPr>
        <w:t>E. 5.3</w:t>
      </w:r>
    </w:p>
    <w:p>
      <w:r>
        <w:t>Zutreffend stellte bereits die Vorinstanz sinngemäss fest, dass die Erben- gemeinschaft mit dem Tod des mitmietenden Ehegatten infolge Universalsukzes- sion (Art. 560 Abs. 1 und Abs. 2 ZGB) an dessen Stelle trete (act. 18 S. 6). Das Mietverhältnis wird danach ex lege einerseits mit dem überlebenden Ehegatten und andererseits mit den Erben des verstorbenen Mieters weitergeführt (ZK OR- Higi, Art. 266i N 14; Lachat et al., a.a.O., S. 580 m.w.H.; Weber, Der zivilrechtli- che Schutz der Familienwohnung, AJP 2004, S. 40 ff., Ziff. 3.4.1.b). Unbestritte- nermassen ist die Kündigung in diesem Fall an den überlebenden Ehegatten so- wie an sämtliche Erben zu richten, um das Mietverhältnis gültig aufzulösen (BGer, 4A_189/2009 vom 13. Juli 2009, E. 2.1 m.w.H.; Lachat et al., a.a.O., S. 519 m.w.H.; Schmid, a.a.O., S. 35).</w:t>
      </w:r>
    </w:p>
    <w:p>
      <w:r>
        <w:rPr>
          <w:b/>
        </w:rPr>
        <w:t>E. 5.4</w:t>
      </w:r>
    </w:p>
    <w:p>
      <w:r>
        <w:t>Die Bestreitung der alleinigen Mieterschaft (act. 11) erweist sich schon nur unter dem Blickwinkel des fehlenden strikten Beweises als nicht haltlos. Im Weite- ren erscheint auch die vor der Vorinstanz vorgebrachte Version der Berufungs- klägerin, wonach die Erbengemeinschaft bestehend aus ihr und der Tochter E._____ an die Stelle des verstorbenen D._____ trat und die Kündigung zumin- dest auch an E._____ hätte adressiert werden müssen, durchaus nicht als offen- sichtlich unbegründet. Es besteht keine Pflicht und auch keine Frist, die Erbteilung vorzunehmen und damit die Erbengemeinschaft aufzulösen (BGE 116 II 267, E. 7; vgl. auch PraxKomm Erbrecht-Weibel, 3. Aufl. 2015, Art. 604 N 5 mit zahl- reichen Hinweisen). Es ist – entgegen der Ansicht der Vor-instanz (act. 18 S. 6) – auch nicht einzusehen, weshalb die Erbteilung bloss angesichts des Zeitablaufs bereits durchgeführt worden sein soll. Dies findet keine Stütze in den Akten. Von</w:t>
      </w:r>
    </w:p>
    <w:p>
      <w:r>
        <w:t>- 12 - der Berufungsklägerin zu verlangen, dass sie das Weiterbestehen der Erbenge- meinschaft glaubhaft zu machen habe (vgl. Erwägung 2.1 des vorinstanzlichen Entscheids, act. 18 S. 6), missachtet im Übrigen die oben beschriebenen Beweis- grundsätze des Rechtsschutzes in klaren Fällen. Die von der Berufungsklägerin zur Begründung ihrer Bestreitung in den Prozess eingeführte Sachverhaltsversion erscheint keineswegs als haltlos. Sie wirkt vielmehr nicht unwahrscheinlicher als die Version der Berufungsbeklagten. Wie die Berufungsklägerin zu Recht anführt (act. 19 S. 5), geht es im Verfahren nach Art. 257 ZPO nicht an, die gesuchstel- lende Partei über weitergehende Anforderungen an die gesuchsgegnerischen Be- streitungen und Einwendungen von ihrer Beweislast zu befreien, diese zu erleich- tern oder gar umzukehren. Die Vorinstanz wendete Art. 257 ZPO somit unrichtig an; sie hätte auf das Gesuch der Berufungsbeklagten nicht eintreten dürfen.</w:t>
      </w:r>
    </w:p>
    <w:p>
      <w:r>
        <w:rPr>
          <w:b/>
        </w:rPr>
        <w:t>E. 5.5</w:t>
      </w:r>
    </w:p>
    <w:p>
      <w:r>
        <w:t>Daran ändert im Übrigen auch der Hinweis der Berufungsbeklagten nichts, dass der Mietzins über all die Jahre über das Bankkonto der Berufungsklägerin beglichen worden sein soll (act. 38 S. 5). Davon abgesehen, dass es sich dabei um eine im Berufungsverfahren unzulässige neue Tatsachenbehauptung handelt (Art. 317 ZPO), sagt eine blosse Zahlungsmodalität nichts Abschliessendes über die beteiligten Mietparteien aus. Genauso ändert sich auch grundsätzlich alleine aufgrund des Einzugs einer Drittpartei vertraglich nichts an den Parteien des Hauptmietvertrags, worauf die Berufungsbeklagte zutreffend hinweist (act. 38 S. 5). Weiter ist auch nicht einzusehen, weshalb die Tochter E._____ oder die Be- rufungsklägerin verpflichtet gewesen sein sollten, sich um die Aufsetzung eines neuen Mietvertrags zu bemühen, wie dies die Vorinstanz anführte (act. 18 S. 7). Eine solche Pflicht ergibt sich weder aus dem Gesetz noch aus der vertraglichen Vereinbarung (vgl. act. 6 sowie act. 12/1).</w:t>
      </w:r>
    </w:p>
    <w:p>
      <w:r>
        <w:rPr>
          <w:b/>
        </w:rPr>
        <w:t>E. 6</w:t>
      </w:r>
    </w:p>
    <w:p>
      <w:r>
        <w:t>Schriftliche Mitteilung an die Parteien, an die Berufungsklägerin unter Beila- ge der Doppel von act. 38 sowie act. 39/1-3, sowie an das Bezirksgericht Dielsdorf und an die Obergerichtskasse, je gegen Empfangsschein. Nach unbenutztem Ablauf der Rechtsmittelfrist gehen die erstinstanzlichen Akten an die Vorinstanz zurück.</w:t>
      </w:r>
    </w:p>
    <w:p>
      <w:r>
        <w:t>- 16 -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12'786.–. Die Beschwerde an das Bundesgericht hat keine aufschiebende Wirkung. Obergericht des Kantons Zürich II. Zivilkammer Der Gerichtsschreiber: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